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F45" w:rsidRDefault="00EC6F4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p>
    <w:p w:rsidR="00EC6F45" w:rsidRDefault="00874A0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C6F45" w:rsidRDefault="00EC6F4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C6F45" w:rsidRDefault="00874A0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C6F45">
        <w:tc>
          <w:tcPr>
            <w:tcW w:w="2263" w:type="dxa"/>
          </w:tcPr>
          <w:p w:rsidR="00EC6F45" w:rsidRDefault="00874A0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C6F45" w:rsidRDefault="00874A0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rsidR="00EC6F45" w:rsidRDefault="00874A0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EC6F45" w:rsidRDefault="00874A02">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C6F45" w:rsidRDefault="00874A0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and may not otherwise be determined by the Processor.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an assessment of the necessity and </w:t>
      </w:r>
      <w:r>
        <w:rPr>
          <w:rFonts w:ascii="Arial" w:eastAsia="Arial" w:hAnsi="Arial" w:cs="Arial"/>
          <w:sz w:val="24"/>
          <w:szCs w:val="24"/>
        </w:rPr>
        <w:t>proportionality of the Processing in relation to the Deliverables;</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w:t>
      </w:r>
      <w:r>
        <w:rPr>
          <w:rFonts w:ascii="Arial" w:eastAsia="Arial" w:hAnsi="Arial" w:cs="Arial"/>
          <w:sz w:val="24"/>
          <w:szCs w:val="24"/>
        </w:rPr>
        <w:t xml:space="preserve"> protection of Personal Data.</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and shall not Process</w:t>
      </w:r>
      <w:r>
        <w:rPr>
          <w:rFonts w:ascii="Arial" w:eastAsia="Arial" w:hAnsi="Arial" w:cs="Arial"/>
          <w:sz w:val="24"/>
          <w:szCs w:val="24"/>
        </w:rPr>
        <w:t xml:space="preserve"> the Personal Data for any other purpose, unless the Processor is required to do otherwise by Law. If it is so required the Processor shall notify the Controller before Processing the Personal Data unless prohibited by Law;</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which are appropriate to protect against a Data Loss Event,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In the eve</w:t>
      </w:r>
      <w:r>
        <w:rPr>
          <w:rFonts w:ascii="Arial" w:eastAsia="Arial" w:hAnsi="Arial" w:cs="Arial"/>
          <w:sz w:val="24"/>
          <w:szCs w:val="24"/>
        </w:rPr>
        <w:t xml:space="preserve">nt of the Controller reasonably rejecting Protection Measures put in place by the Processor, the Processor must propose alternative Protective Measures to the satisfaction of the Controller. Failure to reject shall not amount to approval by the Controller </w:t>
      </w:r>
      <w:r>
        <w:rPr>
          <w:rFonts w:ascii="Arial" w:eastAsia="Arial" w:hAnsi="Arial" w:cs="Arial"/>
          <w:sz w:val="24"/>
          <w:szCs w:val="24"/>
        </w:rPr>
        <w:t>of the adequacy of the Protective Measures. Protective Measures must take account of the:</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Data Loss Event;</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 xml:space="preserve">ensure </w:t>
      </w:r>
      <w:r>
        <w:rPr>
          <w:rFonts w:ascii="Arial" w:eastAsia="Arial" w:hAnsi="Arial" w:cs="Arial"/>
          <w:sz w:val="24"/>
          <w:szCs w:val="24"/>
        </w:rPr>
        <w:t>that:</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w:t>
      </w:r>
      <w:r>
        <w:rPr>
          <w:rFonts w:ascii="Arial" w:eastAsia="Arial" w:hAnsi="Arial" w:cs="Arial"/>
          <w:sz w:val="24"/>
          <w:szCs w:val="24"/>
        </w:rPr>
        <w:t>ave access to the Personal Data and ensure that they:</w:t>
      </w:r>
    </w:p>
    <w:p w:rsidR="00EC6F45" w:rsidRDefault="00874A02">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w:t>
      </w:r>
      <w:r>
        <w:rPr>
          <w:rFonts w:ascii="Arial" w:eastAsia="Arial" w:hAnsi="Arial" w:cs="Arial"/>
          <w:sz w:val="24"/>
          <w:szCs w:val="24"/>
        </w:rPr>
        <w:t>erms;</w:t>
      </w:r>
    </w:p>
    <w:p w:rsidR="00EC6F45" w:rsidRDefault="00874A02">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EC6F45" w:rsidRDefault="00874A02">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C6F45" w:rsidRDefault="00874A02">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have under</w:t>
      </w:r>
      <w:r>
        <w:rPr>
          <w:rFonts w:ascii="Arial" w:eastAsia="Arial" w:hAnsi="Arial" w:cs="Arial"/>
          <w:sz w:val="24"/>
          <w:szCs w:val="24"/>
        </w:rPr>
        <w:t xml:space="preserve">gone adequate training in the use, care, protection and handling of Personal Data; </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Process, or otherwise make available for Processing, Personal Data outside of the UK unless the prior written consent of the Controller has been obtained (suc</w:t>
      </w:r>
      <w:r>
        <w:rPr>
          <w:rFonts w:ascii="Arial" w:eastAsia="Arial" w:hAnsi="Arial" w:cs="Arial"/>
          <w:sz w:val="24"/>
          <w:szCs w:val="24"/>
        </w:rPr>
        <w:t>h consent may be withheld or</w:t>
      </w:r>
      <w:r>
        <w:t xml:space="preserve"> </w:t>
      </w:r>
      <w:r>
        <w:rPr>
          <w:rFonts w:ascii="Arial" w:eastAsia="Arial" w:hAnsi="Arial" w:cs="Arial"/>
          <w:sz w:val="24"/>
          <w:szCs w:val="24"/>
        </w:rPr>
        <w:t>subject to such conditions as the Customer considers fit at the Customer's absolute discretion) and the following conditions are fulfilled:</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destination country has been recognised as adequate by the UK Government in accorda</w:t>
      </w:r>
      <w:r>
        <w:rPr>
          <w:rFonts w:ascii="Arial" w:eastAsia="Arial" w:hAnsi="Arial" w:cs="Arial"/>
          <w:sz w:val="24"/>
          <w:szCs w:val="24"/>
        </w:rPr>
        <w:t>nce with Article 45 UK GDPR or section 74 of the DPA 2018;</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Controller or the Processor has provided appropriate safeguards in relation to the transfer (whether in accordance with UK GDPR Article 46 or section 75 DPA 2018) as determined by the Controller;</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w:t>
      </w:r>
      <w:r>
        <w:rPr>
          <w:rFonts w:ascii="Arial" w:eastAsia="Arial" w:hAnsi="Arial" w:cs="Arial"/>
          <w:sz w:val="24"/>
          <w:szCs w:val="24"/>
        </w:rPr>
        <w:t>he Data Subject has enforceable rights and effective legal remedies;</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w:t>
      </w:r>
      <w:r>
        <w:rPr>
          <w:rFonts w:ascii="Arial" w:eastAsia="Arial" w:hAnsi="Arial" w:cs="Arial"/>
          <w:sz w:val="24"/>
          <w:szCs w:val="24"/>
        </w:rPr>
        <w:t>o bound, uses its best endeavours to assist the Controller in meeting its obligations); and</w:t>
      </w:r>
    </w:p>
    <w:p w:rsidR="00EC6F45" w:rsidRDefault="00874A02">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any reasonable instructions notified to it in advance by the Controller with respect to the Processing of the Personal Data; </w:t>
      </w:r>
    </w:p>
    <w:p w:rsidR="00EC6F45" w:rsidRDefault="00874A02">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if any of the mechanisms relied on under paragraph 6(d) in respect of any transfers of Personal Data by the Processor at any time ceases to be valid, the Processor shall, if possible, implement an alternative mechanism to ensure compliance with the Data Pr</w:t>
      </w:r>
      <w:r>
        <w:rPr>
          <w:rFonts w:ascii="Arial" w:eastAsia="Arial" w:hAnsi="Arial" w:cs="Arial"/>
          <w:sz w:val="24"/>
          <w:szCs w:val="24"/>
        </w:rPr>
        <w:t>otection Legislation. If no alternative mechanism is available, the Controller and the Processor shall work together in good faith to determine the appropriate measures to be taken, taking into account any relevant guidance and accepted good industry pract</w:t>
      </w:r>
      <w:r>
        <w:rPr>
          <w:rFonts w:ascii="Arial" w:eastAsia="Arial" w:hAnsi="Arial" w:cs="Arial"/>
          <w:sz w:val="24"/>
          <w:szCs w:val="24"/>
        </w:rPr>
        <w:t>ice. The Controller reserves the right to require the Processor to cease any affected transfers if no alternative mechanism to ensure compliance with Data Protection Legislation is reasonably available; and</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and absolute discretion</w:t>
      </w:r>
      <w:r>
        <w:rPr>
          <w:rFonts w:ascii="Arial" w:eastAsia="Arial" w:hAnsi="Arial" w:cs="Arial"/>
          <w:sz w:val="24"/>
          <w:szCs w:val="24"/>
        </w:rPr>
        <w:t>, of the Controller, delete or return Personal Data (and any copies of it) to the Controller on termination of the Contract unless the Processor is required by Law to retain the Personal Data.</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8 of this Joint Schedule 11, the Processor</w:t>
      </w:r>
      <w:r>
        <w:rPr>
          <w:rFonts w:ascii="Arial" w:eastAsia="Arial" w:hAnsi="Arial" w:cs="Arial"/>
          <w:sz w:val="24"/>
          <w:szCs w:val="24"/>
        </w:rPr>
        <w:t xml:space="preserve"> shall notify the Controller immediately if in relation to Processing Personal Data under or in connection with the Contract it:</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receives a Data Subject Access Request (or purported Data Subject Access Request);</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to rectify, block or eras</w:t>
      </w:r>
      <w:r>
        <w:rPr>
          <w:rFonts w:ascii="Arial" w:eastAsia="Arial" w:hAnsi="Arial" w:cs="Arial"/>
          <w:sz w:val="24"/>
          <w:szCs w:val="24"/>
        </w:rPr>
        <w:t xml:space="preserve">e any Personal Data; </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the Information Commissioner or any other regulatory authority in co</w:t>
      </w:r>
      <w:r>
        <w:rPr>
          <w:rFonts w:ascii="Arial" w:eastAsia="Arial" w:hAnsi="Arial" w:cs="Arial"/>
          <w:sz w:val="24"/>
          <w:szCs w:val="24"/>
        </w:rPr>
        <w:t xml:space="preserve">nnection with Personal Data Processed under the Contract; </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Data Loss Event.</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w:t>
      </w:r>
      <w:r>
        <w:rPr>
          <w:rFonts w:ascii="Arial" w:eastAsia="Arial" w:hAnsi="Arial" w:cs="Arial"/>
          <w:sz w:val="24"/>
          <w:szCs w:val="24"/>
        </w:rPr>
        <w:t>de the Controller with full assistance in relation to either Party's obligations under Data Protection Legislation and any complaint, communication or request made under paragraph 7 of this Joint Schedule 11 (and insofar as possible within the timescales r</w:t>
      </w:r>
      <w:r>
        <w:rPr>
          <w:rFonts w:ascii="Arial" w:eastAsia="Arial" w:hAnsi="Arial" w:cs="Arial"/>
          <w:sz w:val="24"/>
          <w:szCs w:val="24"/>
        </w:rPr>
        <w:t>easonably required by the Controller) including by immediately providing:</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requested by the Controller to enable the Controller to comply with a Da</w:t>
      </w:r>
      <w:r>
        <w:rPr>
          <w:rFonts w:ascii="Arial" w:eastAsia="Arial" w:hAnsi="Arial" w:cs="Arial"/>
          <w:sz w:val="24"/>
          <w:szCs w:val="24"/>
        </w:rPr>
        <w:t xml:space="preserve">ta Subject Access Request within the relevant timescales set out in the Data Protection Legislation; </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Da</w:t>
      </w:r>
      <w:r>
        <w:rPr>
          <w:rFonts w:ascii="Arial" w:eastAsia="Arial" w:hAnsi="Arial" w:cs="Arial"/>
          <w:sz w:val="24"/>
          <w:szCs w:val="24"/>
        </w:rPr>
        <w:t>ta Loss Event;  and/or</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w:t>
      </w:r>
      <w:r>
        <w:rPr>
          <w:rFonts w:ascii="Arial" w:eastAsia="Arial" w:hAnsi="Arial" w:cs="Arial"/>
          <w:sz w:val="24"/>
          <w:szCs w:val="24"/>
        </w:rPr>
        <w:t xml:space="preserve"> and accurate records and information to demonstrate its compliance with this Joint Schedule 11. This requirement does not apply where the Processor employs fewer than 250 staff, unless:</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 xml:space="preserve">the </w:t>
      </w:r>
      <w:r>
        <w:rPr>
          <w:rFonts w:ascii="Arial" w:eastAsia="Arial" w:hAnsi="Arial" w:cs="Arial"/>
          <w:sz w:val="24"/>
          <w:szCs w:val="24"/>
        </w:rPr>
        <w:t>Controller determines the Processing includes special categories of data as referred to in Article 9(1) of the UK GDPR or Personal Data relating to criminal convictions and offences referred to in Article 10 of the UK GDPR; or</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determines tha</w:t>
      </w:r>
      <w:r>
        <w:rPr>
          <w:rFonts w:ascii="Arial" w:eastAsia="Arial" w:hAnsi="Arial" w:cs="Arial"/>
          <w:sz w:val="24"/>
          <w:szCs w:val="24"/>
        </w:rPr>
        <w:t>t the Processing is likely to result in a risk to the rights and freedoms of Data Subjects.</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Data Pr</w:t>
      </w:r>
      <w:r>
        <w:rPr>
          <w:rFonts w:ascii="Arial" w:eastAsia="Arial" w:hAnsi="Arial" w:cs="Arial"/>
          <w:sz w:val="24"/>
          <w:szCs w:val="24"/>
        </w:rPr>
        <w:t xml:space="preserve">otection Officer if required by the Data Protection Legislation.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 that w</w:t>
      </w:r>
      <w:r>
        <w:rPr>
          <w:rFonts w:ascii="Arial" w:eastAsia="Arial" w:hAnsi="Arial" w:cs="Arial"/>
          <w:sz w:val="24"/>
          <w:szCs w:val="24"/>
        </w:rPr>
        <w:t>ill be undertaken by the Subprocessor;</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(such consent may be withheld or subject to such conditions as the Controller considers fit at the Controller’s absolute discretion); </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legally binding agreement with the Subprocessor which give effect to the terms set out in this Joint Schedule 11 such that they apply to the Subprocessor, prior to any Personal Data being transferred to or accessed by the Subprocessor;</w:t>
      </w:r>
      <w:r>
        <w:rPr>
          <w:rFonts w:ascii="Arial" w:eastAsia="Arial" w:hAnsi="Arial" w:cs="Arial"/>
          <w:sz w:val="24"/>
          <w:szCs w:val="24"/>
        </w:rPr>
        <w:t xml:space="preserve"> and</w:t>
      </w:r>
    </w:p>
    <w:p w:rsidR="00EC6F45" w:rsidRDefault="00874A02">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Any Processing by a Subprocessor or transfer of Personal Data to a Subprocessor permitted by the Controller shall not relieve the Process</w:t>
      </w:r>
      <w:r>
        <w:rPr>
          <w:rFonts w:ascii="Arial" w:eastAsia="Arial" w:hAnsi="Arial" w:cs="Arial"/>
          <w:sz w:val="24"/>
          <w:szCs w:val="24"/>
        </w:rPr>
        <w:t>or from any of its liabilities, responsibilities and obligations to the Controller under this Joint Schedule 11, and the Processor shall remain fully liable for all acts or omissions of any of its Subprocessors.</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w:t>
      </w:r>
      <w:r>
        <w:rPr>
          <w:rFonts w:ascii="Arial" w:eastAsia="Arial" w:hAnsi="Arial" w:cs="Arial"/>
          <w:sz w:val="24"/>
          <w:szCs w:val="24"/>
        </w:rPr>
        <w:t>ot less than thirty (30) Working Days’ notice, revise this Joint Schedule 11 by replacing it with any applicable controller to processor standard clauses or similar terms forming part of an applicable certification scheme (which shall apply when incorporat</w:t>
      </w:r>
      <w:r>
        <w:rPr>
          <w:rFonts w:ascii="Arial" w:eastAsia="Arial" w:hAnsi="Arial" w:cs="Arial"/>
          <w:sz w:val="24"/>
          <w:szCs w:val="24"/>
        </w:rPr>
        <w:t>ed by attachment to the Contract).</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w:t>
      </w:r>
      <w:r>
        <w:rPr>
          <w:rFonts w:ascii="Arial" w:eastAsia="Arial" w:hAnsi="Arial" w:cs="Arial"/>
          <w:sz w:val="24"/>
          <w:szCs w:val="24"/>
        </w:rPr>
        <w:t xml:space="preserve">that it complies with any guidance issued by the Information Commissioner’s Office. </w:t>
      </w:r>
    </w:p>
    <w:p w:rsidR="00EC6F45" w:rsidRDefault="00874A0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w:t>
      </w:r>
      <w:r>
        <w:rPr>
          <w:rFonts w:ascii="Arial" w:eastAsia="Arial" w:hAnsi="Arial" w:cs="Arial"/>
          <w:sz w:val="24"/>
          <w:szCs w:val="24"/>
        </w:rPr>
        <w:t xml:space="preserve">hall implement paragraphs that are necessary to comply with UK GDPR Article 26 based on the terms set out in Annex 3 to this Joint Schedule 11. </w:t>
      </w:r>
    </w:p>
    <w:p w:rsidR="00EC6F45" w:rsidRDefault="00874A0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Independent Controllers of Personal Data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With respect to Personal Data provided by one Party to another Party </w:t>
      </w:r>
      <w:r>
        <w:rPr>
          <w:rFonts w:ascii="Arial" w:eastAsia="Arial" w:hAnsi="Arial" w:cs="Arial"/>
          <w:sz w:val="24"/>
          <w:szCs w:val="24"/>
        </w:rPr>
        <w:t>for which each Party acts as Controller but which is not under the Joint Control of the Parties, each Party undertakes to comply with the applicable Data Protection Legislation in respect of their Processing of such Personal Data as Controller.</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w:t>
      </w:r>
      <w:r>
        <w:rPr>
          <w:rFonts w:ascii="Arial" w:eastAsia="Arial" w:hAnsi="Arial" w:cs="Arial"/>
          <w:sz w:val="24"/>
          <w:szCs w:val="24"/>
        </w:rPr>
        <w:t xml:space="preserve">shall Process the Personal Data in compliance with its obligations under the Data Protection Legislation and not do anything to cause the other Party to be in breach of it.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w:t>
      </w:r>
      <w:r>
        <w:rPr>
          <w:rFonts w:ascii="Arial" w:eastAsia="Arial" w:hAnsi="Arial" w:cs="Arial"/>
          <w:sz w:val="24"/>
          <w:szCs w:val="24"/>
        </w:rPr>
        <w:t>s and procedures as the other Party may reasonably require.</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w:t>
      </w:r>
      <w:r>
        <w:rPr>
          <w:rFonts w:ascii="Arial" w:eastAsia="Arial" w:hAnsi="Arial" w:cs="Arial"/>
          <w:sz w:val="24"/>
          <w:szCs w:val="24"/>
        </w:rPr>
        <w:t>ovide Personal Data to each other:</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w:t>
      </w:r>
      <w:r>
        <w:rPr>
          <w:rFonts w:ascii="Arial" w:eastAsia="Arial" w:hAnsi="Arial" w:cs="Arial"/>
          <w:sz w:val="24"/>
          <w:szCs w:val="24"/>
        </w:rPr>
        <w:t>d Data Subjects to meet the requirements of Articles 13 and 14 of the UK GDPR); and</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w:t>
      </w:r>
      <w:r>
        <w:rPr>
          <w:rFonts w:ascii="Arial" w:eastAsia="Arial" w:hAnsi="Arial" w:cs="Arial"/>
          <w:sz w:val="24"/>
          <w:szCs w:val="24"/>
        </w:rPr>
        <w:t>spect to its Processing of Personal Data as Independent Controller, implement and maintain appropriate technical and organisational measures to ensure a level of security appropriate to that risk, including, as appropriate, the measures referred to in Arti</w:t>
      </w:r>
      <w:r>
        <w:rPr>
          <w:rFonts w:ascii="Arial" w:eastAsia="Arial" w:hAnsi="Arial" w:cs="Arial"/>
          <w:sz w:val="24"/>
          <w:szCs w:val="24"/>
        </w:rPr>
        <w:t>cle 32(1)(a), (b), (c) and (d) of the UK GDPR, and the measures shall, at a minimum, comply with the requirements of the Data Protection Legislation, including Article 32 of the UK GDPR.</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w:t>
      </w:r>
      <w:r>
        <w:rPr>
          <w:rFonts w:ascii="Arial" w:eastAsia="Arial" w:hAnsi="Arial" w:cs="Arial"/>
          <w:sz w:val="24"/>
          <w:szCs w:val="24"/>
        </w:rPr>
        <w:t>ll maintain a record of its Processing activities in accordance with Article 30 UK GDPR and shall make the record available to the other Party upon reasonable request.</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exercise any of their rights und</w:t>
      </w:r>
      <w:r>
        <w:rPr>
          <w:rFonts w:ascii="Arial" w:eastAsia="Arial" w:hAnsi="Arial" w:cs="Arial"/>
          <w:sz w:val="24"/>
          <w:szCs w:val="24"/>
        </w:rPr>
        <w:t xml:space="preserve">er the Data Protection Legislation in relation to the Personal Data </w:t>
      </w:r>
      <w:r>
        <w:rPr>
          <w:rFonts w:ascii="Arial" w:eastAsia="Arial" w:hAnsi="Arial" w:cs="Arial"/>
          <w:sz w:val="24"/>
          <w:szCs w:val="24"/>
        </w:rPr>
        <w:lastRenderedPageBreak/>
        <w:t xml:space="preserve">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w:t>
      </w:r>
      <w:r>
        <w:rPr>
          <w:rFonts w:ascii="Arial" w:eastAsia="Arial" w:hAnsi="Arial" w:cs="Arial"/>
          <w:sz w:val="24"/>
          <w:szCs w:val="24"/>
        </w:rPr>
        <w:t>ipient to help it respond to the request or correspondence, at the cost of the Request Recipient; or</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w:t>
      </w:r>
      <w:r>
        <w:rPr>
          <w:rFonts w:ascii="Arial" w:eastAsia="Arial" w:hAnsi="Arial" w:cs="Arial"/>
          <w:sz w:val="24"/>
          <w:szCs w:val="24"/>
        </w:rPr>
        <w:t>ent  will:</w:t>
      </w:r>
    </w:p>
    <w:p w:rsidR="00EC6F45" w:rsidRDefault="00874A02">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EC6F45" w:rsidRDefault="00874A02">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Data Loss Event relating to Personal Data provided by the other Party pursuant to the Contract and shall: </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Data Loss Event; </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implement</w:t>
      </w:r>
      <w:r>
        <w:rPr>
          <w:rFonts w:ascii="Arial" w:eastAsia="Arial" w:hAnsi="Arial" w:cs="Arial"/>
          <w:sz w:val="24"/>
          <w:szCs w:val="24"/>
        </w:rPr>
        <w:t xml:space="preserve"> any measures necessary to restore the security of any compromised Personal Data; </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w:t>
      </w:r>
      <w:r>
        <w:rPr>
          <w:rFonts w:ascii="Arial" w:eastAsia="Arial" w:hAnsi="Arial" w:cs="Arial"/>
          <w:sz w:val="24"/>
          <w:szCs w:val="24"/>
        </w:rPr>
        <w:t>lation (including the timeframes set out therein); and</w:t>
      </w:r>
    </w:p>
    <w:p w:rsidR="00EC6F45" w:rsidRDefault="00874A02">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Personal Data provided by one Party to the oth</w:t>
      </w:r>
      <w:r>
        <w:rPr>
          <w:rFonts w:ascii="Arial" w:eastAsia="Arial" w:hAnsi="Arial" w:cs="Arial"/>
          <w:sz w:val="24"/>
          <w:szCs w:val="24"/>
        </w:rPr>
        <w:t xml:space="preserve">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C6F45" w:rsidRDefault="00874A02">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w:t>
      </w:r>
      <w:r>
        <w:rPr>
          <w:rFonts w:ascii="Arial" w:eastAsia="Arial" w:hAnsi="Arial" w:cs="Arial"/>
          <w:sz w:val="24"/>
          <w:szCs w:val="24"/>
        </w:rPr>
        <w:t xml:space="preserve"> 2 to 16 of this Joint Schedule 11 to Personal Data, where the Supplier is required to exercise its regulatory and/or legal obligations in respect of Personal Data, it shall act as an </w:t>
      </w:r>
      <w:r>
        <w:rPr>
          <w:rFonts w:ascii="Arial" w:eastAsia="Arial" w:hAnsi="Arial" w:cs="Arial"/>
          <w:sz w:val="24"/>
          <w:szCs w:val="24"/>
        </w:rPr>
        <w:lastRenderedPageBreak/>
        <w:t>Independent Controller of Personal Data in accordance with paragraphs 18</w:t>
      </w:r>
      <w:r>
        <w:rPr>
          <w:rFonts w:ascii="Arial" w:eastAsia="Arial" w:hAnsi="Arial" w:cs="Arial"/>
          <w:sz w:val="24"/>
          <w:szCs w:val="24"/>
        </w:rPr>
        <w:t xml:space="preserve"> to 28 of this Joint Schedule 11.</w:t>
      </w:r>
    </w:p>
    <w:p w:rsidR="00EC6F45" w:rsidRDefault="00EC6F45">
      <w:pPr>
        <w:pBdr>
          <w:top w:val="nil"/>
          <w:left w:val="nil"/>
          <w:bottom w:val="nil"/>
          <w:right w:val="nil"/>
          <w:between w:val="nil"/>
        </w:pBdr>
        <w:spacing w:before="280" w:after="120"/>
        <w:ind w:left="709"/>
        <w:rPr>
          <w:rFonts w:ascii="Arial" w:eastAsia="Arial" w:hAnsi="Arial" w:cs="Arial"/>
          <w:sz w:val="24"/>
          <w:szCs w:val="24"/>
        </w:rPr>
      </w:pPr>
    </w:p>
    <w:p w:rsidR="00EC6F45" w:rsidRDefault="00874A02">
      <w:pPr>
        <w:pStyle w:val="Heading2"/>
        <w:spacing w:before="0" w:after="240"/>
        <w:ind w:left="709" w:hanging="709"/>
        <w:rPr>
          <w:rFonts w:ascii="Arial" w:eastAsia="Arial" w:hAnsi="Arial" w:cs="Arial"/>
          <w:b w:val="0"/>
          <w:sz w:val="24"/>
          <w:szCs w:val="24"/>
        </w:rPr>
      </w:pPr>
      <w:r>
        <w:br w:type="page"/>
      </w:r>
      <w:r>
        <w:rPr>
          <w:rFonts w:ascii="Arial" w:eastAsia="Arial" w:hAnsi="Arial" w:cs="Arial"/>
          <w:b w:val="0"/>
          <w:sz w:val="24"/>
          <w:szCs w:val="24"/>
        </w:rPr>
        <w:lastRenderedPageBreak/>
        <w:t xml:space="preserve"> </w:t>
      </w:r>
      <w:r>
        <w:rPr>
          <w:rFonts w:ascii="Arial" w:eastAsia="Arial" w:hAnsi="Arial" w:cs="Arial"/>
          <w:sz w:val="24"/>
          <w:szCs w:val="24"/>
        </w:rPr>
        <w:t>Annex 1 - Processing Personal Data (Lot 1-7 Authority &amp; Supplier, Call-Off Contract)</w:t>
      </w:r>
    </w:p>
    <w:p w:rsidR="00EC6F45" w:rsidRDefault="00874A02">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w:t>
      </w:r>
      <w:r>
        <w:rPr>
          <w:rFonts w:ascii="Arial" w:eastAsia="Arial" w:hAnsi="Arial" w:cs="Arial"/>
          <w:sz w:val="24"/>
          <w:szCs w:val="24"/>
        </w:rPr>
        <w:t xml:space="preserve">the content of this Annex shall be with the Relevant Authority at its absolute discretion.  </w:t>
      </w:r>
    </w:p>
    <w:p w:rsidR="00EC6F45" w:rsidRDefault="00874A02">
      <w:pPr>
        <w:keepNext/>
        <w:numPr>
          <w:ilvl w:val="3"/>
          <w:numId w:val="14"/>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 dpo@cabinetoffice.gov.uk</w:t>
      </w:r>
    </w:p>
    <w:p w:rsidR="00EC6F45" w:rsidRPr="00927F1A" w:rsidRDefault="00874A02">
      <w:pPr>
        <w:keepNext/>
        <w:numPr>
          <w:ilvl w:val="3"/>
          <w:numId w:val="14"/>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w:t>
      </w:r>
      <w:r>
        <w:rPr>
          <w:rFonts w:ascii="Arial" w:eastAsia="Arial" w:hAnsi="Arial" w:cs="Arial"/>
          <w:sz w:val="24"/>
          <w:szCs w:val="24"/>
        </w:rPr>
        <w:t xml:space="preserve"> are: </w:t>
      </w:r>
      <w:bookmarkStart w:id="16" w:name="_GoBack"/>
      <w:bookmarkEnd w:id="16"/>
      <w:r w:rsidRPr="00927F1A">
        <w:rPr>
          <w:rFonts w:ascii="Arial" w:eastAsia="Arial" w:hAnsi="Arial" w:cs="Arial"/>
          <w:b/>
          <w:sz w:val="24"/>
          <w:szCs w:val="24"/>
        </w:rPr>
        <w:t>Ann.OShaughnessy@xma.co.uk</w:t>
      </w:r>
    </w:p>
    <w:p w:rsidR="00EC6F45" w:rsidRPr="00927F1A" w:rsidRDefault="00874A02">
      <w:pPr>
        <w:keepNext/>
        <w:numPr>
          <w:ilvl w:val="3"/>
          <w:numId w:val="14"/>
        </w:numPr>
        <w:spacing w:after="0" w:line="240" w:lineRule="auto"/>
        <w:jc w:val="both"/>
        <w:rPr>
          <w:rFonts w:ascii="Arial" w:eastAsia="Arial" w:hAnsi="Arial" w:cs="Arial"/>
          <w:sz w:val="24"/>
          <w:szCs w:val="24"/>
        </w:rPr>
      </w:pPr>
      <w:r w:rsidRPr="00927F1A">
        <w:rPr>
          <w:rFonts w:ascii="Arial" w:eastAsia="Arial" w:hAnsi="Arial" w:cs="Arial"/>
          <w:sz w:val="24"/>
          <w:szCs w:val="24"/>
        </w:rPr>
        <w:t>The Processor shall comply with any further written instructions with respect to Processing by the Controller.</w:t>
      </w:r>
    </w:p>
    <w:p w:rsidR="00EC6F45" w:rsidRPr="00927F1A" w:rsidRDefault="00874A02">
      <w:pPr>
        <w:keepNext/>
        <w:numPr>
          <w:ilvl w:val="3"/>
          <w:numId w:val="14"/>
        </w:numPr>
        <w:spacing w:after="0" w:line="240" w:lineRule="auto"/>
        <w:jc w:val="both"/>
        <w:rPr>
          <w:rFonts w:ascii="Arial" w:eastAsia="Arial" w:hAnsi="Arial" w:cs="Arial"/>
          <w:sz w:val="24"/>
          <w:szCs w:val="24"/>
        </w:rPr>
      </w:pPr>
      <w:r w:rsidRPr="00927F1A">
        <w:rPr>
          <w:rFonts w:ascii="Arial" w:eastAsia="Arial" w:hAnsi="Arial" w:cs="Arial"/>
          <w:sz w:val="24"/>
          <w:szCs w:val="24"/>
        </w:rPr>
        <w:t>Any such further instructions shall be incorporated into this Annex.</w:t>
      </w: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C6F45" w:rsidRPr="00927F1A">
        <w:trPr>
          <w:trHeight w:val="700"/>
        </w:trPr>
        <w:tc>
          <w:tcPr>
            <w:tcW w:w="2263" w:type="dxa"/>
            <w:shd w:val="clear" w:color="auto" w:fill="BFBFBF"/>
            <w:vAlign w:val="center"/>
          </w:tcPr>
          <w:p w:rsidR="00EC6F45" w:rsidRPr="00927F1A" w:rsidRDefault="00874A02">
            <w:pPr>
              <w:rPr>
                <w:rFonts w:ascii="Arial" w:eastAsia="Arial" w:hAnsi="Arial" w:cs="Arial"/>
                <w:b/>
                <w:sz w:val="24"/>
                <w:szCs w:val="24"/>
              </w:rPr>
            </w:pPr>
            <w:r w:rsidRPr="00927F1A">
              <w:rPr>
                <w:rFonts w:ascii="Arial" w:eastAsia="Arial" w:hAnsi="Arial" w:cs="Arial"/>
                <w:b/>
                <w:sz w:val="24"/>
                <w:szCs w:val="24"/>
              </w:rPr>
              <w:t>Description</w:t>
            </w:r>
          </w:p>
        </w:tc>
        <w:tc>
          <w:tcPr>
            <w:tcW w:w="7423" w:type="dxa"/>
            <w:shd w:val="clear" w:color="auto" w:fill="BFBFBF"/>
            <w:vAlign w:val="center"/>
          </w:tcPr>
          <w:p w:rsidR="00EC6F45" w:rsidRPr="00927F1A" w:rsidRDefault="00874A02">
            <w:pPr>
              <w:jc w:val="center"/>
              <w:rPr>
                <w:rFonts w:ascii="Arial" w:eastAsia="Arial" w:hAnsi="Arial" w:cs="Arial"/>
                <w:b/>
                <w:sz w:val="24"/>
                <w:szCs w:val="24"/>
              </w:rPr>
            </w:pPr>
            <w:r w:rsidRPr="00927F1A">
              <w:rPr>
                <w:rFonts w:ascii="Arial" w:eastAsia="Arial" w:hAnsi="Arial" w:cs="Arial"/>
                <w:b/>
                <w:sz w:val="24"/>
                <w:szCs w:val="24"/>
              </w:rPr>
              <w:t>Details</w:t>
            </w:r>
          </w:p>
        </w:tc>
      </w:tr>
      <w:tr w:rsidR="00EC6F45">
        <w:trPr>
          <w:trHeight w:val="1620"/>
        </w:trPr>
        <w:tc>
          <w:tcPr>
            <w:tcW w:w="2263" w:type="dxa"/>
            <w:shd w:val="clear" w:color="auto" w:fill="auto"/>
          </w:tcPr>
          <w:p w:rsidR="00EC6F45" w:rsidRPr="00927F1A" w:rsidRDefault="00874A02">
            <w:pPr>
              <w:rPr>
                <w:rFonts w:ascii="Arial" w:eastAsia="Arial" w:hAnsi="Arial" w:cs="Arial"/>
                <w:sz w:val="24"/>
                <w:szCs w:val="24"/>
              </w:rPr>
            </w:pPr>
            <w:r w:rsidRPr="00927F1A">
              <w:rPr>
                <w:rFonts w:ascii="Arial" w:eastAsia="Arial" w:hAnsi="Arial" w:cs="Arial"/>
                <w:sz w:val="24"/>
                <w:szCs w:val="24"/>
              </w:rPr>
              <w:t>Identity of Controller for each Category of Personal Data</w:t>
            </w:r>
          </w:p>
        </w:tc>
        <w:tc>
          <w:tcPr>
            <w:tcW w:w="7423" w:type="dxa"/>
            <w:shd w:val="clear" w:color="auto" w:fill="auto"/>
          </w:tcPr>
          <w:p w:rsidR="00EC6F45" w:rsidRPr="00927F1A" w:rsidRDefault="00874A02">
            <w:pPr>
              <w:rPr>
                <w:rFonts w:ascii="Arial" w:eastAsia="Arial" w:hAnsi="Arial" w:cs="Arial"/>
                <w:b/>
                <w:sz w:val="24"/>
                <w:szCs w:val="24"/>
              </w:rPr>
            </w:pPr>
            <w:r w:rsidRPr="00927F1A">
              <w:rPr>
                <w:rFonts w:ascii="Arial" w:eastAsia="Arial" w:hAnsi="Arial" w:cs="Arial"/>
                <w:b/>
                <w:sz w:val="24"/>
                <w:szCs w:val="24"/>
              </w:rPr>
              <w:t>The Relevant Authority is Controller and the Supplier is the Processor</w:t>
            </w:r>
          </w:p>
          <w:p w:rsidR="00EC6F45" w:rsidRPr="00927F1A" w:rsidRDefault="00874A02">
            <w:pPr>
              <w:rPr>
                <w:rFonts w:ascii="Arial" w:eastAsia="Arial" w:hAnsi="Arial" w:cs="Arial"/>
                <w:sz w:val="24"/>
                <w:szCs w:val="24"/>
              </w:rPr>
            </w:pPr>
            <w:r w:rsidRPr="00927F1A">
              <w:rPr>
                <w:rFonts w:ascii="Arial" w:eastAsia="Arial" w:hAnsi="Arial" w:cs="Arial"/>
                <w:sz w:val="24"/>
                <w:szCs w:val="24"/>
              </w:rPr>
              <w:t>The Parties acknowledge that in accordance with paragraph 3 to paragraph 16 and for the purposes of the Data Protection Legisla</w:t>
            </w:r>
            <w:r w:rsidRPr="00927F1A">
              <w:rPr>
                <w:rFonts w:ascii="Arial" w:eastAsia="Arial" w:hAnsi="Arial" w:cs="Arial"/>
                <w:sz w:val="24"/>
                <w:szCs w:val="24"/>
              </w:rPr>
              <w:t>tion, the Relevant Authority is the Controller and the Supplier is the Processor of the following Personal Data:</w:t>
            </w:r>
          </w:p>
          <w:p w:rsidR="00EC6F45" w:rsidRPr="00927F1A" w:rsidRDefault="00EC6F45">
            <w:pPr>
              <w:rPr>
                <w:rFonts w:ascii="Arial" w:eastAsia="Arial" w:hAnsi="Arial" w:cs="Arial"/>
                <w:sz w:val="24"/>
                <w:szCs w:val="24"/>
              </w:rPr>
            </w:pPr>
          </w:p>
          <w:p w:rsidR="00EC6F45" w:rsidRPr="00927F1A" w:rsidRDefault="00874A02">
            <w:pPr>
              <w:numPr>
                <w:ilvl w:val="0"/>
                <w:numId w:val="15"/>
              </w:numPr>
              <w:pBdr>
                <w:top w:val="nil"/>
                <w:left w:val="nil"/>
                <w:bottom w:val="nil"/>
                <w:right w:val="nil"/>
                <w:between w:val="nil"/>
              </w:pBdr>
              <w:jc w:val="both"/>
              <w:rPr>
                <w:rFonts w:ascii="Arial" w:eastAsia="Arial" w:hAnsi="Arial" w:cs="Arial"/>
                <w:sz w:val="24"/>
                <w:szCs w:val="24"/>
              </w:rPr>
            </w:pPr>
            <w:r w:rsidRPr="00927F1A">
              <w:rPr>
                <w:rFonts w:ascii="Arial" w:eastAsia="Arial" w:hAnsi="Arial" w:cs="Arial"/>
                <w:b/>
                <w:sz w:val="24"/>
                <w:szCs w:val="24"/>
              </w:rPr>
              <w:t>All personal data processed in providing the Services</w:t>
            </w:r>
          </w:p>
          <w:p w:rsidR="00EC6F45" w:rsidRDefault="00EC6F45">
            <w:pPr>
              <w:pBdr>
                <w:top w:val="nil"/>
                <w:left w:val="nil"/>
                <w:bottom w:val="nil"/>
                <w:right w:val="nil"/>
                <w:between w:val="nil"/>
              </w:pBdr>
              <w:ind w:left="360"/>
              <w:jc w:val="both"/>
              <w:rPr>
                <w:rFonts w:ascii="Arial" w:eastAsia="Arial" w:hAnsi="Arial" w:cs="Arial"/>
                <w:sz w:val="24"/>
                <w:szCs w:val="24"/>
              </w:rPr>
            </w:pPr>
          </w:p>
          <w:p w:rsidR="00EC6F45" w:rsidRDefault="00EC6F45">
            <w:pPr>
              <w:rPr>
                <w:rFonts w:ascii="Arial" w:eastAsia="Arial" w:hAnsi="Arial" w:cs="Arial"/>
                <w:sz w:val="24"/>
                <w:szCs w:val="24"/>
              </w:rPr>
            </w:pPr>
          </w:p>
        </w:tc>
      </w:tr>
      <w:tr w:rsidR="00EC6F45">
        <w:trPr>
          <w:trHeight w:val="162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 xml:space="preserve">The provision of hardware to Cabinet Office, and associated services including delivery to end users. </w:t>
            </w:r>
          </w:p>
          <w:p w:rsidR="00EC6F45" w:rsidRDefault="00EC6F45">
            <w:pPr>
              <w:rPr>
                <w:rFonts w:ascii="Arial" w:eastAsia="Arial" w:hAnsi="Arial" w:cs="Arial"/>
                <w:i/>
                <w:sz w:val="24"/>
                <w:szCs w:val="24"/>
              </w:rPr>
            </w:pPr>
          </w:p>
          <w:p w:rsidR="00EC6F45" w:rsidRDefault="00874A02">
            <w:pPr>
              <w:rPr>
                <w:rFonts w:ascii="Arial" w:eastAsia="Arial" w:hAnsi="Arial" w:cs="Arial"/>
                <w:sz w:val="24"/>
                <w:szCs w:val="24"/>
              </w:rPr>
            </w:pPr>
            <w:r>
              <w:rPr>
                <w:rFonts w:ascii="Arial" w:eastAsia="Arial" w:hAnsi="Arial" w:cs="Arial"/>
                <w:sz w:val="24"/>
                <w:szCs w:val="24"/>
              </w:rPr>
              <w:t>The requirement covers a range of commoditised IT hardware, including factory builds but not limited to; PC’s, laptops, IT Peripherals, H&amp;S IT equipment</w:t>
            </w:r>
            <w:r>
              <w:rPr>
                <w:rFonts w:ascii="Arial" w:eastAsia="Arial" w:hAnsi="Arial" w:cs="Arial"/>
                <w:sz w:val="24"/>
                <w:szCs w:val="24"/>
              </w:rPr>
              <w:t>, mobile devices, network servers, IT infrastructure equipment. Audio visual equipment may be required as an optional additional requirement during the term of this contract.</w:t>
            </w:r>
          </w:p>
          <w:p w:rsidR="00EC6F45" w:rsidRDefault="00EC6F45">
            <w:pPr>
              <w:rPr>
                <w:rFonts w:ascii="Arial" w:eastAsia="Arial" w:hAnsi="Arial" w:cs="Arial"/>
                <w:sz w:val="24"/>
                <w:szCs w:val="24"/>
              </w:rPr>
            </w:pPr>
          </w:p>
          <w:p w:rsidR="00EC6F45" w:rsidRDefault="00874A02">
            <w:pPr>
              <w:rPr>
                <w:rFonts w:ascii="Arial" w:eastAsia="Arial" w:hAnsi="Arial" w:cs="Arial"/>
                <w:sz w:val="24"/>
                <w:szCs w:val="24"/>
              </w:rPr>
            </w:pPr>
            <w:r>
              <w:rPr>
                <w:rFonts w:ascii="Arial" w:eastAsia="Arial" w:hAnsi="Arial" w:cs="Arial"/>
                <w:sz w:val="24"/>
                <w:szCs w:val="24"/>
              </w:rPr>
              <w:t>The scope of requirement also includes a range of services including but not lim</w:t>
            </w:r>
            <w:r>
              <w:rPr>
                <w:rFonts w:ascii="Arial" w:eastAsia="Arial" w:hAnsi="Arial" w:cs="Arial"/>
                <w:sz w:val="24"/>
                <w:szCs w:val="24"/>
              </w:rPr>
              <w:t>ited to; delivery of devices to secure office locations and end users, device management roadmapping, hardware storage, device enrolment and secure disposal and/or recycling of old IT equipment. Disk image loading and asset tagging may be required as an op</w:t>
            </w:r>
            <w:r>
              <w:rPr>
                <w:rFonts w:ascii="Arial" w:eastAsia="Arial" w:hAnsi="Arial" w:cs="Arial"/>
                <w:sz w:val="24"/>
                <w:szCs w:val="24"/>
              </w:rPr>
              <w:t>tional service during the term of this contract.</w:t>
            </w:r>
          </w:p>
          <w:p w:rsidR="00EC6F45" w:rsidRDefault="00EC6F45">
            <w:pPr>
              <w:rPr>
                <w:rFonts w:ascii="Arial" w:eastAsia="Arial" w:hAnsi="Arial" w:cs="Arial"/>
                <w:sz w:val="24"/>
                <w:szCs w:val="24"/>
              </w:rPr>
            </w:pPr>
          </w:p>
        </w:tc>
      </w:tr>
      <w:tr w:rsidR="00EC6F45">
        <w:trPr>
          <w:trHeight w:val="14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The duration of the Agreement</w:t>
            </w:r>
          </w:p>
        </w:tc>
      </w:tr>
      <w:tr w:rsidR="00EC6F45">
        <w:trPr>
          <w:trHeight w:val="152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 xml:space="preserve">Processing of personal data should be minimal, and will comprise contact details for Cabinet Office employees. </w:t>
            </w:r>
          </w:p>
          <w:p w:rsidR="00EC6F45" w:rsidRDefault="00EC6F45">
            <w:pPr>
              <w:rPr>
                <w:rFonts w:ascii="Arial" w:eastAsia="Arial" w:hAnsi="Arial" w:cs="Arial"/>
                <w:i/>
                <w:sz w:val="24"/>
                <w:szCs w:val="24"/>
              </w:rPr>
            </w:pPr>
          </w:p>
          <w:p w:rsidR="00EC6F45" w:rsidRDefault="00EC6F45">
            <w:pPr>
              <w:rPr>
                <w:rFonts w:ascii="Arial" w:eastAsia="Arial" w:hAnsi="Arial" w:cs="Arial"/>
                <w:i/>
                <w:sz w:val="24"/>
                <w:szCs w:val="24"/>
              </w:rPr>
            </w:pPr>
          </w:p>
          <w:p w:rsidR="00EC6F45" w:rsidRDefault="00EC6F45">
            <w:pPr>
              <w:rPr>
                <w:rFonts w:ascii="Arial" w:eastAsia="Arial" w:hAnsi="Arial" w:cs="Arial"/>
                <w:sz w:val="24"/>
                <w:szCs w:val="24"/>
              </w:rPr>
            </w:pPr>
          </w:p>
        </w:tc>
      </w:tr>
      <w:tr w:rsidR="00EC6F45">
        <w:trPr>
          <w:trHeight w:val="140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Name, address, email address, telephone, devices used</w:t>
            </w:r>
          </w:p>
        </w:tc>
      </w:tr>
      <w:tr w:rsidR="00EC6F45">
        <w:trPr>
          <w:trHeight w:val="15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Cabinet Office employees</w:t>
            </w:r>
          </w:p>
        </w:tc>
      </w:tr>
      <w:tr w:rsidR="00EC6F45">
        <w:trPr>
          <w:trHeight w:val="15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Data must be stored in the UK, unless otherwise agreed with the Buyer</w:t>
            </w:r>
          </w:p>
        </w:tc>
      </w:tr>
      <w:tr w:rsidR="00EC6F45">
        <w:trPr>
          <w:trHeight w:val="16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C6F45" w:rsidRDefault="00874A02">
            <w:pPr>
              <w:rPr>
                <w:rFonts w:ascii="Arial" w:eastAsia="Arial" w:hAnsi="Arial" w:cs="Arial"/>
                <w:sz w:val="24"/>
                <w:szCs w:val="24"/>
              </w:rPr>
            </w:pPr>
            <w:r>
              <w:rPr>
                <w:rFonts w:ascii="Arial" w:eastAsia="Arial" w:hAnsi="Arial" w:cs="Arial"/>
                <w:sz w:val="24"/>
                <w:szCs w:val="24"/>
              </w:rPr>
              <w:t xml:space="preserve">UNLESS requirement under Union or Member </w:t>
            </w:r>
            <w:r>
              <w:rPr>
                <w:rFonts w:ascii="Arial" w:eastAsia="Arial" w:hAnsi="Arial" w:cs="Arial"/>
                <w:sz w:val="24"/>
                <w:szCs w:val="24"/>
              </w:rPr>
              <w:t>State law to preserve that type of data</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Cabinet Office employee data must be destroyed by the supplier at termination or expiry of the Agreement.</w:t>
            </w:r>
          </w:p>
        </w:tc>
      </w:tr>
    </w:tbl>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874A02">
      <w:pPr>
        <w:pStyle w:val="Heading2"/>
        <w:spacing w:before="0" w:after="240"/>
        <w:ind w:left="709" w:hanging="709"/>
        <w:rPr>
          <w:rFonts w:ascii="Arial" w:eastAsia="Arial" w:hAnsi="Arial" w:cs="Arial"/>
          <w:b w:val="0"/>
          <w:sz w:val="24"/>
          <w:szCs w:val="24"/>
        </w:rPr>
      </w:pPr>
      <w:r>
        <w:rPr>
          <w:rFonts w:ascii="Arial" w:eastAsia="Arial" w:hAnsi="Arial" w:cs="Arial"/>
          <w:sz w:val="24"/>
          <w:szCs w:val="24"/>
        </w:rPr>
        <w:t>Annex 1 - Processing Personal Data (Lot 8 only Authority &amp; Supplier, Call-Off Contract)</w:t>
      </w:r>
    </w:p>
    <w:p w:rsidR="00EC6F45" w:rsidRDefault="00874A02">
      <w:pPr>
        <w:rPr>
          <w:rFonts w:ascii="Arial" w:eastAsia="Arial" w:hAnsi="Arial" w:cs="Arial"/>
          <w:sz w:val="24"/>
          <w:szCs w:val="24"/>
        </w:rPr>
      </w:pPr>
      <w:r>
        <w:rPr>
          <w:rFonts w:ascii="Arial" w:eastAsia="Arial" w:hAnsi="Arial" w:cs="Arial"/>
          <w:sz w:val="24"/>
          <w:szCs w:val="24"/>
        </w:rPr>
        <w:t xml:space="preserve">This Annex has been prepopulated in line with the digital award procedure for all Lot 8 Catalogue Call-Off Contracts. The final decision as to the content of this Annex shall be with the Relevant Authority at its absolute discretion. </w:t>
      </w:r>
    </w:p>
    <w:p w:rsidR="00EC6F45" w:rsidRDefault="00874A0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 As shown in Order/Quote Confirmation attachment.</w:t>
      </w:r>
    </w:p>
    <w:p w:rsidR="00EC6F45" w:rsidRDefault="00874A0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 As shown in Order/Quote Confirmation attachment.</w:t>
      </w:r>
    </w:p>
    <w:p w:rsidR="00EC6F45" w:rsidRDefault="00874A0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Processor </w:t>
      </w:r>
      <w:r>
        <w:rPr>
          <w:rFonts w:ascii="Arial" w:eastAsia="Arial" w:hAnsi="Arial" w:cs="Arial"/>
          <w:sz w:val="24"/>
          <w:szCs w:val="24"/>
        </w:rPr>
        <w:t>shall comply with any further written instructions with respect to Processing by the Controller.</w:t>
      </w:r>
    </w:p>
    <w:p w:rsidR="00EC6F45" w:rsidRDefault="00874A02">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tbl>
      <w:tblPr>
        <w:tblStyle w:val="a7"/>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C6F45">
        <w:trPr>
          <w:trHeight w:val="700"/>
        </w:trPr>
        <w:tc>
          <w:tcPr>
            <w:tcW w:w="2263" w:type="dxa"/>
            <w:shd w:val="clear" w:color="auto" w:fill="BFBFBF"/>
            <w:vAlign w:val="center"/>
          </w:tcPr>
          <w:p w:rsidR="00EC6F45" w:rsidRDefault="00874A02">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C6F45" w:rsidRDefault="00874A02">
            <w:pPr>
              <w:jc w:val="center"/>
              <w:rPr>
                <w:rFonts w:ascii="Arial" w:eastAsia="Arial" w:hAnsi="Arial" w:cs="Arial"/>
                <w:b/>
                <w:sz w:val="24"/>
                <w:szCs w:val="24"/>
              </w:rPr>
            </w:pPr>
            <w:r>
              <w:rPr>
                <w:rFonts w:ascii="Arial" w:eastAsia="Arial" w:hAnsi="Arial" w:cs="Arial"/>
                <w:b/>
                <w:sz w:val="24"/>
                <w:szCs w:val="24"/>
              </w:rPr>
              <w:t>Details</w:t>
            </w:r>
          </w:p>
        </w:tc>
      </w:tr>
      <w:tr w:rsidR="00EC6F45">
        <w:trPr>
          <w:trHeight w:val="162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C6F45" w:rsidRDefault="00874A02">
            <w:pPr>
              <w:rPr>
                <w:rFonts w:ascii="Arial" w:eastAsia="Arial" w:hAnsi="Arial" w:cs="Arial"/>
                <w:b/>
                <w:sz w:val="24"/>
                <w:szCs w:val="24"/>
              </w:rPr>
            </w:pPr>
            <w:r>
              <w:rPr>
                <w:rFonts w:ascii="Arial" w:eastAsia="Arial" w:hAnsi="Arial" w:cs="Arial"/>
                <w:b/>
                <w:sz w:val="24"/>
                <w:szCs w:val="24"/>
              </w:rPr>
              <w:t>The Relevant Authority is the Controller and the Supplier is the Processor</w:t>
            </w:r>
          </w:p>
          <w:p w:rsidR="00EC6F45" w:rsidRDefault="00874A02">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w:t>
            </w:r>
            <w:r>
              <w:rPr>
                <w:rFonts w:ascii="Arial" w:eastAsia="Arial" w:hAnsi="Arial" w:cs="Arial"/>
                <w:sz w:val="24"/>
                <w:szCs w:val="24"/>
              </w:rPr>
              <w:t xml:space="preserve"> Supplier is the Processor of the following Personal Data:</w:t>
            </w:r>
          </w:p>
          <w:p w:rsidR="00EC6F45" w:rsidRDefault="00EC6F45">
            <w:pPr>
              <w:rPr>
                <w:rFonts w:ascii="Arial" w:eastAsia="Arial" w:hAnsi="Arial" w:cs="Arial"/>
                <w:sz w:val="24"/>
                <w:szCs w:val="24"/>
              </w:rPr>
            </w:pPr>
          </w:p>
          <w:p w:rsidR="00EC6F45" w:rsidRDefault="00874A02">
            <w:pPr>
              <w:numPr>
                <w:ilvl w:val="0"/>
                <w:numId w:val="11"/>
              </w:numPr>
              <w:pBdr>
                <w:top w:val="nil"/>
                <w:left w:val="nil"/>
                <w:bottom w:val="nil"/>
                <w:right w:val="nil"/>
                <w:between w:val="nil"/>
              </w:pBdr>
              <w:spacing w:after="200" w:line="276" w:lineRule="auto"/>
              <w:rPr>
                <w:rFonts w:ascii="Arial" w:eastAsia="Arial" w:hAnsi="Arial" w:cs="Arial"/>
                <w:sz w:val="24"/>
                <w:szCs w:val="24"/>
              </w:rPr>
            </w:pPr>
            <w:r>
              <w:rPr>
                <w:rFonts w:ascii="Arial" w:eastAsia="Arial" w:hAnsi="Arial" w:cs="Arial"/>
                <w:sz w:val="24"/>
                <w:szCs w:val="24"/>
              </w:rPr>
              <w:t>Any Personal Data contained within the order/quote confirmation attachment provided to a Supplier for them to fulfil an order under RM6098 Technology Products and Associated Services 2 Lot 8 Catal</w:t>
            </w:r>
            <w:r>
              <w:rPr>
                <w:rFonts w:ascii="Arial" w:eastAsia="Arial" w:hAnsi="Arial" w:cs="Arial"/>
                <w:sz w:val="24"/>
                <w:szCs w:val="24"/>
              </w:rPr>
              <w:t xml:space="preserve">ogue. </w:t>
            </w:r>
          </w:p>
          <w:p w:rsidR="00EC6F45" w:rsidRDefault="00EC6F45">
            <w:pPr>
              <w:pBdr>
                <w:top w:val="nil"/>
                <w:left w:val="nil"/>
                <w:bottom w:val="nil"/>
                <w:right w:val="nil"/>
                <w:between w:val="nil"/>
              </w:pBdr>
              <w:spacing w:after="200" w:line="276" w:lineRule="auto"/>
              <w:ind w:left="360"/>
              <w:rPr>
                <w:rFonts w:ascii="Arial" w:eastAsia="Arial" w:hAnsi="Arial" w:cs="Arial"/>
                <w:sz w:val="24"/>
                <w:szCs w:val="24"/>
              </w:rPr>
            </w:pPr>
          </w:p>
          <w:p w:rsidR="00EC6F45" w:rsidRDefault="00874A02">
            <w:pPr>
              <w:numPr>
                <w:ilvl w:val="0"/>
                <w:numId w:val="11"/>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Any Personal Data for effective communication between the Authority and the Supplier.</w:t>
            </w:r>
          </w:p>
          <w:p w:rsidR="00EC6F45" w:rsidRDefault="00874A02">
            <w:pPr>
              <w:numPr>
                <w:ilvl w:val="0"/>
                <w:numId w:val="11"/>
              </w:numPr>
              <w:pBdr>
                <w:top w:val="nil"/>
                <w:left w:val="nil"/>
                <w:bottom w:val="nil"/>
                <w:right w:val="nil"/>
                <w:between w:val="nil"/>
              </w:pBdr>
              <w:spacing w:after="200" w:line="276" w:lineRule="auto"/>
              <w:rPr>
                <w:rFonts w:ascii="Arial" w:eastAsia="Arial" w:hAnsi="Arial" w:cs="Arial"/>
                <w:sz w:val="24"/>
                <w:szCs w:val="24"/>
              </w:rPr>
            </w:pPr>
            <w:r>
              <w:rPr>
                <w:rFonts w:ascii="Arial" w:eastAsia="Arial" w:hAnsi="Arial" w:cs="Arial"/>
                <w:sz w:val="24"/>
                <w:szCs w:val="24"/>
              </w:rPr>
              <w:t>Any Personal Data for maintaining full and accurate records of the Call-Off Contract.</w:t>
            </w:r>
          </w:p>
        </w:tc>
      </w:tr>
      <w:tr w:rsidR="00EC6F45">
        <w:trPr>
          <w:trHeight w:val="968"/>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The processing is needed to ensure that the Processor can effectively deliver the relevant Lot 8 Catalogue Call-Off Contract</w:t>
            </w:r>
            <w:r>
              <w:rPr>
                <w:rFonts w:ascii="Arial" w:eastAsia="Arial" w:hAnsi="Arial" w:cs="Arial"/>
                <w:i/>
                <w:sz w:val="24"/>
                <w:szCs w:val="24"/>
              </w:rPr>
              <w:t>.</w:t>
            </w:r>
          </w:p>
        </w:tc>
      </w:tr>
      <w:tr w:rsidR="00EC6F45">
        <w:trPr>
          <w:trHeight w:val="14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Up to 7 years after the expiry or termination of the Call-Off Contract unless longer retention is requ</w:t>
            </w:r>
            <w:r>
              <w:rPr>
                <w:rFonts w:ascii="Arial" w:eastAsia="Arial" w:hAnsi="Arial" w:cs="Arial"/>
                <w:sz w:val="24"/>
                <w:szCs w:val="24"/>
              </w:rPr>
              <w:t>ired by Law or the terms of any Call-Off Contract arising hereunder.</w:t>
            </w:r>
          </w:p>
        </w:tc>
      </w:tr>
      <w:tr w:rsidR="00EC6F45">
        <w:trPr>
          <w:trHeight w:val="152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The Technology Products and Associated Services 2 Lot 8 Catalogue Platform is a digital catalogue used by Public Sector for ordering or retrieving quotations for technology products. To place an order or retrieve a quotation the Relevant Authority must pro</w:t>
            </w:r>
            <w:r>
              <w:rPr>
                <w:rFonts w:ascii="Arial" w:eastAsia="Arial" w:hAnsi="Arial" w:cs="Arial"/>
                <w:sz w:val="24"/>
                <w:szCs w:val="24"/>
              </w:rPr>
              <w:t>vide personal information which the Supplier will process to ensure order / quote obligations are fulfilled.</w:t>
            </w:r>
          </w:p>
          <w:p w:rsidR="00EC6F45" w:rsidRDefault="00EC6F45">
            <w:pPr>
              <w:rPr>
                <w:rFonts w:ascii="Arial" w:eastAsia="Arial" w:hAnsi="Arial" w:cs="Arial"/>
                <w:sz w:val="24"/>
                <w:szCs w:val="24"/>
              </w:rPr>
            </w:pPr>
          </w:p>
          <w:p w:rsidR="00EC6F45" w:rsidRDefault="00874A02">
            <w:pPr>
              <w:rPr>
                <w:rFonts w:ascii="Arial" w:eastAsia="Arial" w:hAnsi="Arial" w:cs="Arial"/>
                <w:sz w:val="24"/>
                <w:szCs w:val="24"/>
              </w:rPr>
            </w:pPr>
            <w:r>
              <w:rPr>
                <w:rFonts w:ascii="Arial" w:eastAsia="Arial" w:hAnsi="Arial" w:cs="Arial"/>
                <w:sz w:val="24"/>
                <w:szCs w:val="24"/>
              </w:rPr>
              <w:t xml:space="preserve">The Personal Data will, </w:t>
            </w:r>
          </w:p>
          <w:p w:rsidR="00EC6F45" w:rsidRDefault="00EC6F45">
            <w:pPr>
              <w:rPr>
                <w:rFonts w:ascii="Arial" w:eastAsia="Arial" w:hAnsi="Arial" w:cs="Arial"/>
                <w:sz w:val="24"/>
                <w:szCs w:val="24"/>
              </w:rPr>
            </w:pPr>
          </w:p>
          <w:p w:rsidR="00EC6F45" w:rsidRDefault="00874A02">
            <w:pPr>
              <w:numPr>
                <w:ilvl w:val="0"/>
                <w:numId w:val="10"/>
              </w:numPr>
              <w:pBdr>
                <w:top w:val="nil"/>
                <w:left w:val="nil"/>
                <w:bottom w:val="nil"/>
                <w:right w:val="nil"/>
                <w:between w:val="nil"/>
              </w:pBdr>
              <w:spacing w:after="200" w:line="276" w:lineRule="auto"/>
              <w:rPr>
                <w:rFonts w:ascii="Arial" w:eastAsia="Arial" w:hAnsi="Arial" w:cs="Arial"/>
                <w:sz w:val="24"/>
                <w:szCs w:val="24"/>
              </w:rPr>
            </w:pPr>
            <w:r>
              <w:rPr>
                <w:rFonts w:ascii="Arial" w:eastAsia="Arial" w:hAnsi="Arial" w:cs="Arial"/>
                <w:sz w:val="24"/>
                <w:szCs w:val="24"/>
              </w:rPr>
              <w:t>Ensure effective communication between the Authority and the Supplier.</w:t>
            </w:r>
          </w:p>
          <w:p w:rsidR="00EC6F45" w:rsidRDefault="00EC6F45">
            <w:pPr>
              <w:rPr>
                <w:rFonts w:ascii="Arial" w:eastAsia="Arial" w:hAnsi="Arial" w:cs="Arial"/>
                <w:sz w:val="24"/>
                <w:szCs w:val="24"/>
              </w:rPr>
            </w:pPr>
          </w:p>
          <w:p w:rsidR="00EC6F45" w:rsidRDefault="00874A02">
            <w:pPr>
              <w:numPr>
                <w:ilvl w:val="0"/>
                <w:numId w:val="10"/>
              </w:numPr>
              <w:pBdr>
                <w:top w:val="nil"/>
                <w:left w:val="nil"/>
                <w:bottom w:val="nil"/>
                <w:right w:val="nil"/>
                <w:between w:val="nil"/>
              </w:pBdr>
              <w:spacing w:after="200" w:line="276" w:lineRule="auto"/>
              <w:rPr>
                <w:rFonts w:ascii="Arial" w:eastAsia="Arial" w:hAnsi="Arial" w:cs="Arial"/>
                <w:sz w:val="24"/>
                <w:szCs w:val="24"/>
              </w:rPr>
            </w:pPr>
            <w:r>
              <w:rPr>
                <w:rFonts w:ascii="Arial" w:eastAsia="Arial" w:hAnsi="Arial" w:cs="Arial"/>
                <w:sz w:val="24"/>
                <w:szCs w:val="24"/>
              </w:rPr>
              <w:t>Ensure accurate records of the Call-Off Contract</w:t>
            </w:r>
            <w:r>
              <w:rPr>
                <w:rFonts w:ascii="Arial" w:eastAsia="Arial" w:hAnsi="Arial" w:cs="Arial"/>
                <w:sz w:val="24"/>
                <w:szCs w:val="24"/>
              </w:rPr>
              <w:t xml:space="preserve"> are maintained.</w:t>
            </w:r>
          </w:p>
        </w:tc>
      </w:tr>
      <w:tr w:rsidR="00EC6F45">
        <w:trPr>
          <w:trHeight w:val="140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 xml:space="preserve">Includes: </w:t>
            </w:r>
          </w:p>
          <w:p w:rsidR="00EC6F45" w:rsidRDefault="00EC6F45">
            <w:pPr>
              <w:rPr>
                <w:rFonts w:ascii="Arial" w:eastAsia="Arial" w:hAnsi="Arial" w:cs="Arial"/>
                <w:sz w:val="24"/>
                <w:szCs w:val="24"/>
              </w:rPr>
            </w:pPr>
          </w:p>
          <w:p w:rsidR="00EC6F45" w:rsidRDefault="00874A02">
            <w:pPr>
              <w:numPr>
                <w:ilvl w:val="0"/>
                <w:numId w:val="9"/>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 xml:space="preserve">Name, email address, telephone number, delivery address and communications with, Relevant Authority staff concerned with award and management of the Call-Off Contract awarded under Lot 8 Catalogue. </w:t>
            </w:r>
          </w:p>
          <w:p w:rsidR="00EC6F45" w:rsidRDefault="00874A02">
            <w:pPr>
              <w:numPr>
                <w:ilvl w:val="0"/>
                <w:numId w:val="9"/>
              </w:numPr>
              <w:pBdr>
                <w:top w:val="nil"/>
                <w:left w:val="nil"/>
                <w:bottom w:val="nil"/>
                <w:right w:val="nil"/>
                <w:between w:val="nil"/>
              </w:pBdr>
              <w:spacing w:after="200" w:line="276" w:lineRule="auto"/>
              <w:rPr>
                <w:rFonts w:ascii="Arial" w:eastAsia="Arial" w:hAnsi="Arial" w:cs="Arial"/>
                <w:sz w:val="24"/>
                <w:szCs w:val="24"/>
              </w:rPr>
            </w:pPr>
            <w:r>
              <w:rPr>
                <w:rFonts w:ascii="Arial" w:eastAsia="Arial" w:hAnsi="Arial" w:cs="Arial"/>
                <w:sz w:val="24"/>
                <w:szCs w:val="24"/>
              </w:rPr>
              <w:t>Name, email address, telephone number and communications with Supplier staff concerned with management of the Call-Off Contract awarded under Lot 8 Catalogue.</w:t>
            </w:r>
          </w:p>
        </w:tc>
      </w:tr>
      <w:tr w:rsidR="00EC6F45">
        <w:trPr>
          <w:trHeight w:val="15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EC6F45" w:rsidRDefault="00874A02">
            <w:pPr>
              <w:spacing w:after="160" w:line="259" w:lineRule="auto"/>
              <w:rPr>
                <w:rFonts w:ascii="Arial" w:eastAsia="Arial" w:hAnsi="Arial" w:cs="Arial"/>
                <w:sz w:val="24"/>
                <w:szCs w:val="24"/>
              </w:rPr>
            </w:pPr>
            <w:r>
              <w:rPr>
                <w:rFonts w:ascii="Arial" w:eastAsia="Arial" w:hAnsi="Arial" w:cs="Arial"/>
                <w:sz w:val="24"/>
                <w:szCs w:val="24"/>
              </w:rPr>
              <w:t>Includes:</w:t>
            </w:r>
          </w:p>
          <w:p w:rsidR="00EC6F45" w:rsidRDefault="00874A02">
            <w:pPr>
              <w:numPr>
                <w:ilvl w:val="0"/>
                <w:numId w:val="12"/>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Relevant Authority staff concerned with award and management of the Call-Off Contract awarded under Lot 8 Catalogue.</w:t>
            </w:r>
          </w:p>
          <w:p w:rsidR="00EC6F45" w:rsidRDefault="00874A02">
            <w:pPr>
              <w:numPr>
                <w:ilvl w:val="0"/>
                <w:numId w:val="12"/>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Supplier staff concerned with fulfilment of the Supplier’s obligations arising under the Lot 8 Catalogue Call-Off Contract.</w:t>
            </w:r>
          </w:p>
        </w:tc>
      </w:tr>
      <w:tr w:rsidR="00EC6F45">
        <w:trPr>
          <w:trHeight w:val="15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 xml:space="preserve">International </w:t>
            </w:r>
            <w:r>
              <w:rPr>
                <w:rFonts w:ascii="Arial" w:eastAsia="Arial" w:hAnsi="Arial" w:cs="Arial"/>
                <w:sz w:val="24"/>
                <w:szCs w:val="24"/>
              </w:rPr>
              <w:t>transfers and legal gateway</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The Supplier will not transfer any Personal Data outside of the European Economic Area (EEA) without the prior written consent of the Authority.</w:t>
            </w:r>
          </w:p>
        </w:tc>
      </w:tr>
      <w:tr w:rsidR="00EC6F45">
        <w:trPr>
          <w:trHeight w:val="16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rsidR="00EC6F45" w:rsidRDefault="00874A02">
            <w:pPr>
              <w:rPr>
                <w:rFonts w:ascii="Arial" w:eastAsia="Arial" w:hAnsi="Arial" w:cs="Arial"/>
                <w:sz w:val="24"/>
                <w:szCs w:val="24"/>
              </w:rPr>
            </w:pPr>
            <w:r>
              <w:rPr>
                <w:rFonts w:ascii="Arial" w:eastAsia="Arial" w:hAnsi="Arial" w:cs="Arial"/>
                <w:sz w:val="24"/>
                <w:szCs w:val="24"/>
              </w:rPr>
              <w:t>UNLESS</w:t>
            </w:r>
            <w:r>
              <w:rPr>
                <w:rFonts w:ascii="Arial" w:eastAsia="Arial" w:hAnsi="Arial" w:cs="Arial"/>
                <w:sz w:val="24"/>
                <w:szCs w:val="24"/>
              </w:rPr>
              <w:t xml:space="preserve"> requirement under Union or Member State law to preserve that type of data</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All relevant data to be deleted 7 years after the expiry or termination of this Call-Off Contract unless longer retention is required by Law.</w:t>
            </w:r>
          </w:p>
        </w:tc>
      </w:tr>
    </w:tbl>
    <w:p w:rsidR="00EC6F45" w:rsidRDefault="00EC6F45">
      <w:pPr>
        <w:rPr>
          <w:rFonts w:ascii="Arial" w:eastAsia="Arial" w:hAnsi="Arial" w:cs="Arial"/>
          <w:b/>
          <w:sz w:val="24"/>
          <w:szCs w:val="24"/>
        </w:rPr>
      </w:pPr>
    </w:p>
    <w:p w:rsidR="00EC6F45" w:rsidRDefault="00EC6F45"/>
    <w:p w:rsidR="00EC6F45" w:rsidRDefault="00EC6F45">
      <w:pPr>
        <w:rPr>
          <w:rFonts w:ascii="Arial" w:eastAsia="Arial" w:hAnsi="Arial" w:cs="Arial"/>
          <w:b/>
          <w:sz w:val="24"/>
          <w:szCs w:val="24"/>
        </w:rPr>
      </w:pPr>
    </w:p>
    <w:p w:rsidR="00EC6F45" w:rsidRDefault="00874A02">
      <w:pPr>
        <w:pStyle w:val="Heading2"/>
        <w:spacing w:before="0" w:after="240"/>
        <w:rPr>
          <w:rFonts w:ascii="Arial" w:eastAsia="Arial" w:hAnsi="Arial" w:cs="Arial"/>
          <w:b w:val="0"/>
          <w:sz w:val="24"/>
          <w:szCs w:val="24"/>
        </w:rPr>
      </w:pPr>
      <w:r>
        <w:rPr>
          <w:rFonts w:ascii="Arial" w:eastAsia="Arial" w:hAnsi="Arial" w:cs="Arial"/>
          <w:sz w:val="24"/>
          <w:szCs w:val="24"/>
        </w:rPr>
        <w:t>Annex 1 - Processing Personal Data (CCS &amp; Supplier, Framework Contract)</w:t>
      </w:r>
    </w:p>
    <w:tbl>
      <w:tblPr>
        <w:tblStyle w:val="a8"/>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C6F45">
        <w:trPr>
          <w:trHeight w:val="700"/>
        </w:trPr>
        <w:tc>
          <w:tcPr>
            <w:tcW w:w="2263" w:type="dxa"/>
            <w:shd w:val="clear" w:color="auto" w:fill="BFBFBF"/>
            <w:vAlign w:val="center"/>
          </w:tcPr>
          <w:p w:rsidR="00EC6F45" w:rsidRDefault="00874A02">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C6F45" w:rsidRDefault="00874A02">
            <w:pPr>
              <w:jc w:val="center"/>
              <w:rPr>
                <w:rFonts w:ascii="Arial" w:eastAsia="Arial" w:hAnsi="Arial" w:cs="Arial"/>
                <w:b/>
                <w:sz w:val="24"/>
                <w:szCs w:val="24"/>
              </w:rPr>
            </w:pPr>
            <w:r>
              <w:rPr>
                <w:rFonts w:ascii="Arial" w:eastAsia="Arial" w:hAnsi="Arial" w:cs="Arial"/>
                <w:b/>
                <w:sz w:val="24"/>
                <w:szCs w:val="24"/>
              </w:rPr>
              <w:t>Details</w:t>
            </w:r>
          </w:p>
        </w:tc>
      </w:tr>
      <w:tr w:rsidR="00EC6F45">
        <w:trPr>
          <w:trHeight w:val="162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C6F45" w:rsidRDefault="00874A02">
            <w:pPr>
              <w:rPr>
                <w:rFonts w:ascii="Arial" w:eastAsia="Arial" w:hAnsi="Arial" w:cs="Arial"/>
                <w:b/>
                <w:sz w:val="24"/>
                <w:szCs w:val="24"/>
              </w:rPr>
            </w:pPr>
            <w:r>
              <w:rPr>
                <w:rFonts w:ascii="Arial" w:eastAsia="Arial" w:hAnsi="Arial" w:cs="Arial"/>
                <w:b/>
                <w:sz w:val="24"/>
                <w:szCs w:val="24"/>
              </w:rPr>
              <w:t>The Relevant Authority is Controller and the Supplier is the Processor</w:t>
            </w:r>
          </w:p>
          <w:p w:rsidR="00EC6F45" w:rsidRDefault="00874A02">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EC6F45" w:rsidRDefault="00EC6F45">
            <w:pPr>
              <w:rPr>
                <w:rFonts w:ascii="Arial" w:eastAsia="Arial" w:hAnsi="Arial" w:cs="Arial"/>
                <w:sz w:val="24"/>
                <w:szCs w:val="24"/>
              </w:rPr>
            </w:pPr>
          </w:p>
          <w:p w:rsidR="00EC6F45" w:rsidRDefault="00874A02">
            <w:pPr>
              <w:numPr>
                <w:ilvl w:val="0"/>
                <w:numId w:val="13"/>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Any Personal Da</w:t>
            </w:r>
            <w:r>
              <w:rPr>
                <w:rFonts w:ascii="Arial" w:eastAsia="Arial" w:hAnsi="Arial" w:cs="Arial"/>
                <w:sz w:val="24"/>
                <w:szCs w:val="24"/>
              </w:rPr>
              <w:t>ta for effective communication between the Authority and the Supplier.</w:t>
            </w:r>
          </w:p>
          <w:p w:rsidR="00EC6F45" w:rsidRDefault="00874A02">
            <w:pPr>
              <w:numPr>
                <w:ilvl w:val="0"/>
                <w:numId w:val="13"/>
              </w:numPr>
              <w:pBdr>
                <w:top w:val="nil"/>
                <w:left w:val="nil"/>
                <w:bottom w:val="nil"/>
                <w:right w:val="nil"/>
                <w:between w:val="nil"/>
              </w:pBdr>
              <w:spacing w:after="200" w:line="276" w:lineRule="auto"/>
              <w:jc w:val="both"/>
              <w:rPr>
                <w:rFonts w:ascii="Arial" w:eastAsia="Arial" w:hAnsi="Arial" w:cs="Arial"/>
                <w:i/>
                <w:sz w:val="24"/>
                <w:szCs w:val="24"/>
              </w:rPr>
            </w:pPr>
            <w:r>
              <w:rPr>
                <w:rFonts w:ascii="Arial" w:eastAsia="Arial" w:hAnsi="Arial" w:cs="Arial"/>
                <w:sz w:val="24"/>
                <w:szCs w:val="24"/>
              </w:rPr>
              <w:t>Any Personal Data for maintaining full and accurate records of the Framework Contract.</w:t>
            </w:r>
          </w:p>
        </w:tc>
      </w:tr>
      <w:tr w:rsidR="00EC6F45">
        <w:trPr>
          <w:trHeight w:val="162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The processing is needed in order to ensure that the</w:t>
            </w:r>
          </w:p>
          <w:p w:rsidR="00EC6F45" w:rsidRDefault="00874A02">
            <w:pPr>
              <w:rPr>
                <w:rFonts w:ascii="Arial" w:eastAsia="Arial" w:hAnsi="Arial" w:cs="Arial"/>
                <w:sz w:val="24"/>
                <w:szCs w:val="24"/>
              </w:rPr>
            </w:pPr>
            <w:r>
              <w:rPr>
                <w:rFonts w:ascii="Arial" w:eastAsia="Arial" w:hAnsi="Arial" w:cs="Arial"/>
                <w:sz w:val="24"/>
                <w:szCs w:val="24"/>
              </w:rPr>
              <w:t>Processor can effectively maintain and deliver its obligations under the Framework Contract.</w:t>
            </w:r>
          </w:p>
          <w:p w:rsidR="00EC6F45" w:rsidRDefault="00EC6F45">
            <w:pPr>
              <w:rPr>
                <w:rFonts w:ascii="Arial" w:eastAsia="Arial" w:hAnsi="Arial" w:cs="Arial"/>
                <w:sz w:val="24"/>
                <w:szCs w:val="24"/>
              </w:rPr>
            </w:pPr>
          </w:p>
        </w:tc>
      </w:tr>
      <w:tr w:rsidR="00EC6F45">
        <w:trPr>
          <w:trHeight w:val="14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EC6F45" w:rsidRDefault="00874A02">
            <w:pPr>
              <w:rPr>
                <w:rFonts w:ascii="Arial" w:eastAsia="Arial" w:hAnsi="Arial" w:cs="Arial"/>
                <w:sz w:val="24"/>
                <w:szCs w:val="24"/>
                <w:highlight w:val="magenta"/>
              </w:rPr>
            </w:pPr>
            <w:r>
              <w:rPr>
                <w:rFonts w:ascii="Arial" w:eastAsia="Arial" w:hAnsi="Arial" w:cs="Arial"/>
                <w:sz w:val="24"/>
                <w:szCs w:val="24"/>
              </w:rPr>
              <w:t>Up to 7 years after the expiry or termination of the Framework Contract unless longer retention is required by Law or the terms of any Call-Off Contract arising hereunder.</w:t>
            </w:r>
          </w:p>
        </w:tc>
      </w:tr>
      <w:tr w:rsidR="00EC6F45">
        <w:trPr>
          <w:trHeight w:val="152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To facilitate the fulfilment of the Supplier’</w:t>
            </w:r>
            <w:r>
              <w:rPr>
                <w:rFonts w:ascii="Arial" w:eastAsia="Arial" w:hAnsi="Arial" w:cs="Arial"/>
                <w:sz w:val="24"/>
                <w:szCs w:val="24"/>
              </w:rPr>
              <w:t>s obligations arising under this Framework Contract including;</w:t>
            </w:r>
          </w:p>
          <w:p w:rsidR="00EC6F45" w:rsidRDefault="00EC6F45">
            <w:pPr>
              <w:rPr>
                <w:rFonts w:ascii="Arial" w:eastAsia="Arial" w:hAnsi="Arial" w:cs="Arial"/>
                <w:sz w:val="24"/>
                <w:szCs w:val="24"/>
              </w:rPr>
            </w:pPr>
          </w:p>
          <w:p w:rsidR="00EC6F45" w:rsidRDefault="00874A02">
            <w:pPr>
              <w:numPr>
                <w:ilvl w:val="0"/>
                <w:numId w:val="4"/>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Ensuring effective communication between the Supplier and CSS.</w:t>
            </w:r>
          </w:p>
          <w:p w:rsidR="00EC6F45" w:rsidRDefault="00874A02">
            <w:pPr>
              <w:numPr>
                <w:ilvl w:val="0"/>
                <w:numId w:val="4"/>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Maintaining full and accurate records of every Call-Off Contract arising under the Framework Contract in accordance with Core Terms Clause 6 (Record Keeping and Reporting).</w:t>
            </w:r>
          </w:p>
        </w:tc>
      </w:tr>
      <w:tr w:rsidR="00EC6F45">
        <w:trPr>
          <w:trHeight w:val="140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rsidR="00EC6F45" w:rsidRDefault="00874A02">
            <w:pPr>
              <w:spacing w:after="160" w:line="259" w:lineRule="auto"/>
              <w:rPr>
                <w:rFonts w:ascii="Arial" w:eastAsia="Arial" w:hAnsi="Arial" w:cs="Arial"/>
                <w:sz w:val="24"/>
                <w:szCs w:val="24"/>
              </w:rPr>
            </w:pPr>
            <w:r>
              <w:rPr>
                <w:rFonts w:ascii="Arial" w:eastAsia="Arial" w:hAnsi="Arial" w:cs="Arial"/>
                <w:sz w:val="24"/>
                <w:szCs w:val="24"/>
              </w:rPr>
              <w:t>Includes:</w:t>
            </w:r>
          </w:p>
          <w:p w:rsidR="00EC6F45" w:rsidRDefault="00874A02">
            <w:pPr>
              <w:numPr>
                <w:ilvl w:val="0"/>
                <w:numId w:val="5"/>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Names, email addresses, telephone numbers and communications with, CSS staff concerned with management of the Framework Contract.</w:t>
            </w:r>
          </w:p>
          <w:p w:rsidR="00EC6F45" w:rsidRDefault="00874A02">
            <w:pPr>
              <w:numPr>
                <w:ilvl w:val="0"/>
                <w:numId w:val="5"/>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Names, email addresses, telephone numbers and communications with, Buyer staff concerned with award and management of Call-Off</w:t>
            </w:r>
            <w:r>
              <w:rPr>
                <w:rFonts w:ascii="Arial" w:eastAsia="Arial" w:hAnsi="Arial" w:cs="Arial"/>
                <w:sz w:val="24"/>
                <w:szCs w:val="24"/>
              </w:rPr>
              <w:t xml:space="preserve"> Contracts awarded under the Framework Contract.</w:t>
            </w:r>
          </w:p>
          <w:p w:rsidR="00EC6F45" w:rsidRDefault="00874A02">
            <w:pPr>
              <w:numPr>
                <w:ilvl w:val="0"/>
                <w:numId w:val="5"/>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Names, email addresses, telephone numbers, and communications with, Sub-contractor staff concerned with fulfilment of the Supplier’s obligations arising from this Framework Contract.</w:t>
            </w:r>
          </w:p>
          <w:p w:rsidR="00EC6F45" w:rsidRDefault="00874A02">
            <w:pPr>
              <w:numPr>
                <w:ilvl w:val="0"/>
                <w:numId w:val="5"/>
              </w:numPr>
              <w:pBdr>
                <w:top w:val="nil"/>
                <w:left w:val="nil"/>
                <w:bottom w:val="nil"/>
                <w:right w:val="nil"/>
                <w:between w:val="nil"/>
              </w:pBdr>
              <w:spacing w:after="200" w:line="276" w:lineRule="auto"/>
              <w:rPr>
                <w:rFonts w:ascii="Arial" w:eastAsia="Arial" w:hAnsi="Arial" w:cs="Arial"/>
                <w:sz w:val="24"/>
                <w:szCs w:val="24"/>
              </w:rPr>
            </w:pPr>
            <w:r>
              <w:rPr>
                <w:rFonts w:ascii="Arial" w:eastAsia="Arial" w:hAnsi="Arial" w:cs="Arial"/>
                <w:sz w:val="24"/>
                <w:szCs w:val="24"/>
              </w:rPr>
              <w:t xml:space="preserve">Names, email addresses, </w:t>
            </w:r>
            <w:r>
              <w:rPr>
                <w:rFonts w:ascii="Arial" w:eastAsia="Arial" w:hAnsi="Arial" w:cs="Arial"/>
                <w:sz w:val="24"/>
                <w:szCs w:val="24"/>
              </w:rPr>
              <w:t>telephone numbers and communications with Supplier staff concerned with management of the Framework Contract.</w:t>
            </w:r>
          </w:p>
        </w:tc>
      </w:tr>
      <w:tr w:rsidR="00EC6F45">
        <w:trPr>
          <w:trHeight w:val="15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EC6F45" w:rsidRDefault="00874A02">
            <w:pPr>
              <w:spacing w:after="160" w:line="259" w:lineRule="auto"/>
              <w:rPr>
                <w:rFonts w:ascii="Arial" w:eastAsia="Arial" w:hAnsi="Arial" w:cs="Arial"/>
                <w:sz w:val="24"/>
                <w:szCs w:val="24"/>
              </w:rPr>
            </w:pPr>
            <w:r>
              <w:rPr>
                <w:rFonts w:ascii="Arial" w:eastAsia="Arial" w:hAnsi="Arial" w:cs="Arial"/>
                <w:sz w:val="24"/>
                <w:szCs w:val="24"/>
              </w:rPr>
              <w:t>Includes:</w:t>
            </w:r>
          </w:p>
          <w:p w:rsidR="00EC6F45" w:rsidRDefault="00874A02">
            <w:pPr>
              <w:numPr>
                <w:ilvl w:val="0"/>
                <w:numId w:val="6"/>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CSS staff concerned with management of the Framework Contract.</w:t>
            </w:r>
          </w:p>
          <w:p w:rsidR="00EC6F45" w:rsidRDefault="00874A02">
            <w:pPr>
              <w:numPr>
                <w:ilvl w:val="0"/>
                <w:numId w:val="6"/>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Buyer staff concerned with award and management of Call-Off Contracts awarded under the Framework Contract.</w:t>
            </w:r>
          </w:p>
          <w:p w:rsidR="00EC6F45" w:rsidRDefault="00874A02">
            <w:pPr>
              <w:numPr>
                <w:ilvl w:val="0"/>
                <w:numId w:val="6"/>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Sub-contractor staff concerned with fulfilment of the Supplier’s obligations arising from this Framework Contract.</w:t>
            </w:r>
          </w:p>
          <w:p w:rsidR="00EC6F45" w:rsidRDefault="00874A02">
            <w:pPr>
              <w:numPr>
                <w:ilvl w:val="0"/>
                <w:numId w:val="6"/>
              </w:numPr>
              <w:pBdr>
                <w:top w:val="nil"/>
                <w:left w:val="nil"/>
                <w:bottom w:val="nil"/>
                <w:right w:val="nil"/>
                <w:between w:val="nil"/>
              </w:pBdr>
              <w:spacing w:after="200" w:line="276" w:lineRule="auto"/>
              <w:rPr>
                <w:rFonts w:ascii="Arial" w:eastAsia="Arial" w:hAnsi="Arial" w:cs="Arial"/>
                <w:sz w:val="24"/>
                <w:szCs w:val="24"/>
              </w:rPr>
            </w:pPr>
            <w:r>
              <w:rPr>
                <w:rFonts w:ascii="Arial" w:eastAsia="Arial" w:hAnsi="Arial" w:cs="Arial"/>
                <w:sz w:val="24"/>
                <w:szCs w:val="24"/>
              </w:rPr>
              <w:t>Supplier staff concerned with ful</w:t>
            </w:r>
            <w:r>
              <w:rPr>
                <w:rFonts w:ascii="Arial" w:eastAsia="Arial" w:hAnsi="Arial" w:cs="Arial"/>
                <w:sz w:val="24"/>
                <w:szCs w:val="24"/>
              </w:rPr>
              <w:t>filment of the Supplier’s obligations arising under this Framework Contract.</w:t>
            </w:r>
          </w:p>
        </w:tc>
      </w:tr>
      <w:tr w:rsidR="00EC6F45">
        <w:trPr>
          <w:trHeight w:val="15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rsidR="00EC6F45" w:rsidRDefault="00874A02">
            <w:pPr>
              <w:numPr>
                <w:ilvl w:val="0"/>
                <w:numId w:val="7"/>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The Supplier shall provide CCS with a statement of the physical location where data will be stored, processed and managed.  </w:t>
            </w:r>
          </w:p>
          <w:p w:rsidR="00EC6F45" w:rsidRDefault="00874A02">
            <w:pPr>
              <w:numPr>
                <w:ilvl w:val="0"/>
                <w:numId w:val="7"/>
              </w:numPr>
              <w:pBdr>
                <w:top w:val="nil"/>
                <w:left w:val="nil"/>
                <w:bottom w:val="nil"/>
                <w:right w:val="nil"/>
                <w:between w:val="nil"/>
              </w:pBdr>
              <w:spacing w:after="160" w:line="259" w:lineRule="auto"/>
              <w:rPr>
                <w:rFonts w:ascii="Arial" w:eastAsia="Arial" w:hAnsi="Arial" w:cs="Arial"/>
                <w:sz w:val="24"/>
                <w:szCs w:val="24"/>
              </w:rPr>
            </w:pPr>
            <w:r>
              <w:rPr>
                <w:rFonts w:ascii="Arial" w:eastAsia="Arial" w:hAnsi="Arial" w:cs="Arial"/>
                <w:sz w:val="24"/>
                <w:szCs w:val="24"/>
              </w:rPr>
              <w:t>The Supplier will not transfer any Personal Data outside of the European Economic Area (EEA) without the prior written consent of the Authority.</w:t>
            </w:r>
          </w:p>
          <w:p w:rsidR="00EC6F45" w:rsidRDefault="00EC6F45">
            <w:pPr>
              <w:rPr>
                <w:rFonts w:ascii="Arial" w:eastAsia="Arial" w:hAnsi="Arial" w:cs="Arial"/>
                <w:i/>
                <w:sz w:val="24"/>
                <w:szCs w:val="24"/>
              </w:rPr>
            </w:pPr>
          </w:p>
        </w:tc>
      </w:tr>
      <w:tr w:rsidR="00EC6F45">
        <w:trPr>
          <w:trHeight w:val="1660"/>
        </w:trPr>
        <w:tc>
          <w:tcPr>
            <w:tcW w:w="226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rsidR="00EC6F45" w:rsidRDefault="00874A02">
            <w:pPr>
              <w:rPr>
                <w:rFonts w:ascii="Arial" w:eastAsia="Arial" w:hAnsi="Arial" w:cs="Arial"/>
                <w:sz w:val="24"/>
                <w:szCs w:val="24"/>
              </w:rPr>
            </w:pPr>
            <w:r>
              <w:rPr>
                <w:rFonts w:ascii="Arial" w:eastAsia="Arial" w:hAnsi="Arial" w:cs="Arial"/>
                <w:sz w:val="24"/>
                <w:szCs w:val="24"/>
              </w:rPr>
              <w:t>UNLESS requirement under Union or</w:t>
            </w:r>
            <w:r>
              <w:rPr>
                <w:rFonts w:ascii="Arial" w:eastAsia="Arial" w:hAnsi="Arial" w:cs="Arial"/>
                <w:sz w:val="24"/>
                <w:szCs w:val="24"/>
              </w:rPr>
              <w:t xml:space="preserve"> Member State law to preserve that type of data</w:t>
            </w:r>
          </w:p>
        </w:tc>
        <w:tc>
          <w:tcPr>
            <w:tcW w:w="7423" w:type="dxa"/>
            <w:shd w:val="clear" w:color="auto" w:fill="auto"/>
          </w:tcPr>
          <w:p w:rsidR="00EC6F45" w:rsidRDefault="00874A02">
            <w:pPr>
              <w:rPr>
                <w:rFonts w:ascii="Arial" w:eastAsia="Arial" w:hAnsi="Arial" w:cs="Arial"/>
                <w:sz w:val="24"/>
                <w:szCs w:val="24"/>
              </w:rPr>
            </w:pPr>
            <w:r>
              <w:rPr>
                <w:rFonts w:ascii="Arial" w:eastAsia="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rsidR="00EC6F45" w:rsidRDefault="00874A02">
      <w:pPr>
        <w:rPr>
          <w:rFonts w:ascii="Arial" w:eastAsia="Arial" w:hAnsi="Arial" w:cs="Arial"/>
          <w:b/>
          <w:sz w:val="24"/>
          <w:szCs w:val="24"/>
        </w:rPr>
      </w:pPr>
      <w:r>
        <w:br w:type="page"/>
      </w:r>
    </w:p>
    <w:p w:rsidR="00EC6F45" w:rsidRDefault="00874A02">
      <w:pPr>
        <w:rPr>
          <w:rFonts w:ascii="Arial" w:eastAsia="Arial" w:hAnsi="Arial" w:cs="Arial"/>
          <w:b/>
          <w:sz w:val="24"/>
          <w:szCs w:val="24"/>
        </w:rPr>
      </w:pPr>
      <w:r>
        <w:rPr>
          <w:rFonts w:ascii="Arial" w:eastAsia="Arial" w:hAnsi="Arial" w:cs="Arial"/>
          <w:b/>
          <w:sz w:val="24"/>
          <w:szCs w:val="24"/>
        </w:rPr>
        <w:t>Annex 2 – Security</w:t>
      </w:r>
    </w:p>
    <w:p w:rsidR="00EC6F45" w:rsidRDefault="00874A02">
      <w:pPr>
        <w:spacing w:after="0" w:line="240" w:lineRule="auto"/>
        <w:rPr>
          <w:rFonts w:ascii="Arial" w:eastAsia="Arial" w:hAnsi="Arial" w:cs="Arial"/>
          <w:color w:val="000000"/>
          <w:sz w:val="24"/>
          <w:szCs w:val="24"/>
        </w:rPr>
      </w:pPr>
      <w:r>
        <w:rPr>
          <w:rFonts w:ascii="Arial" w:eastAsia="Arial" w:hAnsi="Arial" w:cs="Arial"/>
          <w:color w:val="222222"/>
          <w:sz w:val="24"/>
          <w:szCs w:val="24"/>
        </w:rPr>
        <w:t xml:space="preserve">The technical security requirements set out below provide an indication of the types of security measures that might be considered, in order to protect Personal Data. </w:t>
      </w:r>
      <w:r>
        <w:rPr>
          <w:rFonts w:ascii="Arial" w:eastAsia="Arial" w:hAnsi="Arial" w:cs="Arial"/>
          <w:color w:val="000000"/>
          <w:sz w:val="24"/>
          <w:szCs w:val="24"/>
        </w:rPr>
        <w:t>More, or less,</w:t>
      </w:r>
      <w:r>
        <w:rPr>
          <w:rFonts w:ascii="Arial" w:eastAsia="Arial" w:hAnsi="Arial" w:cs="Arial"/>
          <w:color w:val="222222"/>
          <w:sz w:val="24"/>
          <w:szCs w:val="24"/>
        </w:rPr>
        <w:t xml:space="preserve"> </w:t>
      </w:r>
      <w:r>
        <w:rPr>
          <w:rFonts w:ascii="Arial" w:eastAsia="Arial" w:hAnsi="Arial" w:cs="Arial"/>
          <w:color w:val="000000"/>
          <w:sz w:val="24"/>
          <w:szCs w:val="24"/>
        </w:rPr>
        <w:t>measures may be appropriate depending on the subject ma</w:t>
      </w:r>
      <w:r>
        <w:rPr>
          <w:rFonts w:ascii="Arial" w:eastAsia="Arial" w:hAnsi="Arial" w:cs="Arial"/>
          <w:color w:val="000000"/>
          <w:sz w:val="24"/>
          <w:szCs w:val="24"/>
        </w:rPr>
        <w:t>tter of the contract, but the overall</w:t>
      </w:r>
      <w:r>
        <w:rPr>
          <w:rFonts w:ascii="Arial" w:eastAsia="Arial" w:hAnsi="Arial" w:cs="Arial"/>
          <w:color w:val="222222"/>
          <w:sz w:val="24"/>
          <w:szCs w:val="24"/>
        </w:rPr>
        <w:t xml:space="preserve"> </w:t>
      </w:r>
      <w:r>
        <w:rPr>
          <w:rFonts w:ascii="Arial" w:eastAsia="Arial" w:hAnsi="Arial" w:cs="Arial"/>
          <w:color w:val="000000"/>
          <w:sz w:val="24"/>
          <w:szCs w:val="24"/>
        </w:rPr>
        <w:t>approach must be proportionate. The technical requirements must also be compliant with</w:t>
      </w:r>
      <w:r>
        <w:rPr>
          <w:rFonts w:ascii="Arial" w:eastAsia="Arial" w:hAnsi="Arial" w:cs="Arial"/>
          <w:color w:val="222222"/>
          <w:sz w:val="24"/>
          <w:szCs w:val="24"/>
        </w:rPr>
        <w:t xml:space="preserve"> </w:t>
      </w:r>
      <w:r>
        <w:rPr>
          <w:rFonts w:ascii="Arial" w:eastAsia="Arial" w:hAnsi="Arial" w:cs="Arial"/>
          <w:color w:val="000000"/>
          <w:sz w:val="24"/>
          <w:szCs w:val="24"/>
        </w:rPr>
        <w:t>legislative and regulatory obligations for content and data, such as UK GDPR.</w:t>
      </w:r>
      <w:r>
        <w:rPr>
          <w:rFonts w:ascii="Arial" w:eastAsia="Arial" w:hAnsi="Arial" w:cs="Arial"/>
          <w:color w:val="222222"/>
          <w:sz w:val="24"/>
          <w:szCs w:val="24"/>
        </w:rPr>
        <w:t xml:space="preserve"> </w:t>
      </w:r>
      <w:r>
        <w:rPr>
          <w:rFonts w:ascii="Arial" w:eastAsia="Arial" w:hAnsi="Arial" w:cs="Arial"/>
          <w:color w:val="000000"/>
          <w:sz w:val="24"/>
          <w:szCs w:val="24"/>
        </w:rPr>
        <w:t>The example technical security requirements set out h</w:t>
      </w:r>
      <w:r>
        <w:rPr>
          <w:rFonts w:ascii="Arial" w:eastAsia="Arial" w:hAnsi="Arial" w:cs="Arial"/>
          <w:color w:val="000000"/>
          <w:sz w:val="24"/>
          <w:szCs w:val="24"/>
        </w:rPr>
        <w:t>ere are intended to supplement, not</w:t>
      </w:r>
      <w:r>
        <w:rPr>
          <w:rFonts w:ascii="Arial" w:eastAsia="Arial" w:hAnsi="Arial" w:cs="Arial"/>
          <w:color w:val="222222"/>
          <w:sz w:val="24"/>
          <w:szCs w:val="24"/>
        </w:rPr>
        <w:t xml:space="preserve"> </w:t>
      </w:r>
      <w:r>
        <w:rPr>
          <w:rFonts w:ascii="Arial" w:eastAsia="Arial" w:hAnsi="Arial" w:cs="Arial"/>
          <w:color w:val="000000"/>
          <w:sz w:val="24"/>
          <w:szCs w:val="24"/>
        </w:rPr>
        <w:t>replace, security schedules that will detail the total contractual security obligations and</w:t>
      </w:r>
      <w:r>
        <w:rPr>
          <w:rFonts w:ascii="Arial" w:eastAsia="Arial" w:hAnsi="Arial" w:cs="Arial"/>
          <w:color w:val="222222"/>
          <w:sz w:val="24"/>
          <w:szCs w:val="24"/>
        </w:rPr>
        <w:t xml:space="preserve"> </w:t>
      </w:r>
      <w:r>
        <w:rPr>
          <w:rFonts w:ascii="Arial" w:eastAsia="Arial" w:hAnsi="Arial" w:cs="Arial"/>
          <w:color w:val="000000"/>
          <w:sz w:val="24"/>
          <w:szCs w:val="24"/>
        </w:rPr>
        <w:t>requirements that the Processor (i.e. a supplier) will be held to account to deliver under</w:t>
      </w:r>
      <w:r>
        <w:rPr>
          <w:rFonts w:ascii="Arial" w:eastAsia="Arial" w:hAnsi="Arial" w:cs="Arial"/>
          <w:color w:val="222222"/>
          <w:sz w:val="24"/>
          <w:szCs w:val="24"/>
        </w:rPr>
        <w:t xml:space="preserve"> </w:t>
      </w:r>
      <w:r>
        <w:rPr>
          <w:rFonts w:ascii="Arial" w:eastAsia="Arial" w:hAnsi="Arial" w:cs="Arial"/>
          <w:color w:val="000000"/>
          <w:sz w:val="24"/>
          <w:szCs w:val="24"/>
        </w:rPr>
        <w:t>contract. Processors are also require</w:t>
      </w:r>
      <w:r>
        <w:rPr>
          <w:rFonts w:ascii="Arial" w:eastAsia="Arial" w:hAnsi="Arial" w:cs="Arial"/>
          <w:color w:val="000000"/>
          <w:sz w:val="24"/>
          <w:szCs w:val="24"/>
        </w:rPr>
        <w:t>d to ensure sufficient ‘flow-down’ of legislative and</w:t>
      </w:r>
      <w:r>
        <w:rPr>
          <w:rFonts w:ascii="Arial" w:eastAsia="Arial" w:hAnsi="Arial" w:cs="Arial"/>
          <w:color w:val="222222"/>
          <w:sz w:val="24"/>
          <w:szCs w:val="24"/>
        </w:rPr>
        <w:t xml:space="preserve"> </w:t>
      </w:r>
      <w:r>
        <w:rPr>
          <w:rFonts w:ascii="Arial" w:eastAsia="Arial" w:hAnsi="Arial" w:cs="Arial"/>
          <w:color w:val="000000"/>
          <w:sz w:val="24"/>
          <w:szCs w:val="24"/>
        </w:rPr>
        <w:t>regulatory obligations to any third party Sub-processors.</w:t>
      </w:r>
    </w:p>
    <w:p w:rsidR="00EC6F45" w:rsidRDefault="00EC6F45">
      <w:pPr>
        <w:spacing w:after="0" w:line="240" w:lineRule="auto"/>
        <w:rPr>
          <w:rFonts w:ascii="Arial" w:eastAsia="Arial" w:hAnsi="Arial" w:cs="Arial"/>
          <w:color w:val="222222"/>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External Certifications e.g. </w:t>
      </w:r>
      <w:r>
        <w:rPr>
          <w:rFonts w:ascii="Arial" w:eastAsia="Arial" w:hAnsi="Arial" w:cs="Arial"/>
          <w:color w:val="000000"/>
          <w:sz w:val="24"/>
          <w:szCs w:val="24"/>
        </w:rPr>
        <w:t>Buyers should ensure that Suppliers hold at least Cyber</w:t>
      </w:r>
    </w:p>
    <w:p w:rsidR="00EC6F45" w:rsidRDefault="00874A0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Essentials certification and ISO 27001:2013 certification </w:t>
      </w:r>
      <w:r>
        <w:rPr>
          <w:rFonts w:ascii="Arial" w:eastAsia="Arial" w:hAnsi="Arial" w:cs="Arial"/>
          <w:color w:val="000000"/>
          <w:sz w:val="24"/>
          <w:szCs w:val="24"/>
        </w:rPr>
        <w:t>if proportionate to the service being procured.</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Risk Assessment e.g. </w:t>
      </w:r>
      <w:r>
        <w:rPr>
          <w:rFonts w:ascii="Arial" w:eastAsia="Arial" w:hAnsi="Arial" w:cs="Arial"/>
          <w:color w:val="000000"/>
          <w:sz w:val="24"/>
          <w:szCs w:val="24"/>
        </w:rPr>
        <w:t>Supplier should perform a technical information risk assessment on the service supplied and be able to demonstrate what controls are in place to address those risks.</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Security Classifica</w:t>
      </w:r>
      <w:r>
        <w:rPr>
          <w:rFonts w:ascii="Arial" w:eastAsia="Arial" w:hAnsi="Arial" w:cs="Arial"/>
          <w:b/>
          <w:color w:val="000000"/>
          <w:sz w:val="24"/>
          <w:szCs w:val="24"/>
        </w:rPr>
        <w:t xml:space="preserve">tion of Information e.g. </w:t>
      </w:r>
      <w:r>
        <w:rPr>
          <w:rFonts w:ascii="Arial" w:eastAsia="Arial" w:hAnsi="Arial" w:cs="Arial"/>
          <w:color w:val="000000"/>
          <w:sz w:val="24"/>
          <w:szCs w:val="24"/>
        </w:rPr>
        <w:t>If the provision of the Services requires the Supplier to Process Authority/Buyer Data which is classified as OFFICIAL,OFFICIAL-SENSITIVE or Personal Data, the Supplier shall implement such additional measures as agreed with the Au</w:t>
      </w:r>
      <w:r>
        <w:rPr>
          <w:rFonts w:ascii="Arial" w:eastAsia="Arial" w:hAnsi="Arial" w:cs="Arial"/>
          <w:color w:val="000000"/>
          <w:sz w:val="24"/>
          <w:szCs w:val="24"/>
        </w:rPr>
        <w:t>thority/Buyer from time to time in order to ensure that such information is safeguarded in accordance with the applicable legislative and regulatory obligations.</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b/>
          <w:color w:val="000000"/>
          <w:sz w:val="24"/>
          <w:szCs w:val="24"/>
        </w:rPr>
      </w:pPr>
      <w:r>
        <w:rPr>
          <w:rFonts w:ascii="Arial" w:eastAsia="Arial" w:hAnsi="Arial" w:cs="Arial"/>
          <w:b/>
          <w:color w:val="000000"/>
          <w:sz w:val="24"/>
          <w:szCs w:val="24"/>
        </w:rPr>
        <w:t>End User Devices e.g.</w:t>
      </w:r>
    </w:p>
    <w:p w:rsidR="00EC6F45" w:rsidRDefault="00874A02">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Supplier shall ensure that any Authority/Buyer Data which resides o</w:t>
      </w:r>
      <w:r>
        <w:rPr>
          <w:rFonts w:ascii="Arial" w:eastAsia="Arial" w:hAnsi="Arial" w:cs="Arial"/>
          <w:color w:val="000000"/>
          <w:sz w:val="24"/>
          <w:szCs w:val="24"/>
        </w:rPr>
        <w:t xml:space="preserve">n a mobile, removable or physically uncontrolled device is stored encrypted using a product or system component which has been formally assured through a recognised certification process agreed with the Authority/Buyer except where the Authority/Buyer has </w:t>
      </w:r>
      <w:r>
        <w:rPr>
          <w:rFonts w:ascii="Arial" w:eastAsia="Arial" w:hAnsi="Arial" w:cs="Arial"/>
          <w:color w:val="000000"/>
          <w:sz w:val="24"/>
          <w:szCs w:val="24"/>
        </w:rPr>
        <w:t>given its prior written consent to an alternative arrangement.</w:t>
      </w:r>
    </w:p>
    <w:p w:rsidR="00EC6F45" w:rsidRDefault="00874A02">
      <w:pPr>
        <w:numPr>
          <w:ilvl w:val="0"/>
          <w:numId w:val="2"/>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any device which is used to Process Authority/Buyer Data meets all of the security requirements set out in the NCSC End User Devices Platform Security Guidance, a copy of which can be found at: </w:t>
      </w:r>
      <w:hyperlink r:id="rId8">
        <w:r>
          <w:rPr>
            <w:rFonts w:ascii="Arial" w:eastAsia="Arial" w:hAnsi="Arial" w:cs="Arial"/>
            <w:color w:val="0000FF"/>
            <w:u w:val="single"/>
          </w:rPr>
          <w:t>https://www.ncsc.gov.uk/guidance/end-user-device-security</w:t>
        </w:r>
      </w:hyperlink>
      <w:r>
        <w:rPr>
          <w:rFonts w:ascii="Arial" w:eastAsia="Arial" w:hAnsi="Arial" w:cs="Arial"/>
          <w:color w:val="000000"/>
          <w:sz w:val="24"/>
          <w:szCs w:val="24"/>
        </w:rPr>
        <w:t>.</w:t>
      </w:r>
    </w:p>
    <w:p w:rsidR="00EC6F45" w:rsidRDefault="00EC6F45">
      <w:pPr>
        <w:pBdr>
          <w:top w:val="nil"/>
          <w:left w:val="nil"/>
          <w:bottom w:val="nil"/>
          <w:right w:val="nil"/>
          <w:between w:val="nil"/>
        </w:pBdr>
        <w:spacing w:after="0" w:line="240" w:lineRule="auto"/>
        <w:ind w:left="720"/>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Testing e.g. </w:t>
      </w:r>
      <w:r>
        <w:rPr>
          <w:rFonts w:ascii="Arial" w:eastAsia="Arial" w:hAnsi="Arial" w:cs="Arial"/>
          <w:color w:val="000000"/>
          <w:sz w:val="24"/>
          <w:szCs w:val="24"/>
        </w:rPr>
        <w:t>The Supplier shall at their own cost and expense, procure a CHECK or CREST Certified Supplier to perform an ITHC or Penetration Test prio</w:t>
      </w:r>
      <w:r>
        <w:rPr>
          <w:rFonts w:ascii="Arial" w:eastAsia="Arial" w:hAnsi="Arial" w:cs="Arial"/>
          <w:color w:val="000000"/>
          <w:sz w:val="24"/>
          <w:szCs w:val="24"/>
        </w:rPr>
        <w:t>r to any live Authority/Buyer data being transferred into their systems. The ITHC scope must be agreed with the Authority/Buyer to ensure it covers all the relevant parts of the system that processes, stores or hosts Authority/Buyer data.</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Networking e.g. </w:t>
      </w:r>
      <w:r>
        <w:rPr>
          <w:rFonts w:ascii="Arial" w:eastAsia="Arial" w:hAnsi="Arial" w:cs="Arial"/>
          <w:color w:val="000000"/>
          <w:sz w:val="24"/>
          <w:szCs w:val="24"/>
        </w:rPr>
        <w:t>The Supplier shall ensure that any Authority/Buyer Data which it causes to be transmitted over any public network (including the Internet, mobile networks or un-protected enterprise network) or to a mobile device shall be encrypted when transmitted.</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Perso</w:t>
      </w:r>
      <w:r>
        <w:rPr>
          <w:rFonts w:ascii="Arial" w:eastAsia="Arial" w:hAnsi="Arial" w:cs="Arial"/>
          <w:b/>
          <w:color w:val="000000"/>
          <w:sz w:val="24"/>
          <w:szCs w:val="24"/>
        </w:rPr>
        <w:t xml:space="preserve">nnel Security e.g. </w:t>
      </w:r>
      <w:r>
        <w:rPr>
          <w:rFonts w:ascii="Arial" w:eastAsia="Arial" w:hAnsi="Arial" w:cs="Arial"/>
          <w:color w:val="000000"/>
          <w:sz w:val="24"/>
          <w:szCs w:val="24"/>
        </w:rPr>
        <w:t>All Supplier Personnel shall be subject to a pre-employment check before they may participate in the provision and or management of the Services. Such pre-employment checks must include all pre-employment checks which are required by the</w:t>
      </w:r>
      <w:r>
        <w:rPr>
          <w:rFonts w:ascii="Arial" w:eastAsia="Arial" w:hAnsi="Arial" w:cs="Arial"/>
          <w:color w:val="000000"/>
          <w:sz w:val="24"/>
          <w:szCs w:val="24"/>
        </w:rPr>
        <w:t xml:space="preserve"> HMG Baseline Personnel Security Standard or equivalent including: verification of the individual's identity; verification of the individual's nationality and immigration status; and,</w:t>
      </w:r>
    </w:p>
    <w:p w:rsidR="00EC6F45" w:rsidRDefault="00874A02">
      <w:pPr>
        <w:spacing w:after="0" w:line="240" w:lineRule="auto"/>
        <w:rPr>
          <w:rFonts w:ascii="Arial" w:eastAsia="Arial" w:hAnsi="Arial" w:cs="Arial"/>
          <w:color w:val="000000"/>
          <w:sz w:val="24"/>
          <w:szCs w:val="24"/>
        </w:rPr>
      </w:pPr>
      <w:r>
        <w:rPr>
          <w:rFonts w:ascii="Arial" w:eastAsia="Arial" w:hAnsi="Arial" w:cs="Arial"/>
          <w:color w:val="000000"/>
          <w:sz w:val="24"/>
          <w:szCs w:val="24"/>
        </w:rPr>
        <w:t>verification of the individual's employment history; verification of the</w:t>
      </w:r>
      <w:r>
        <w:rPr>
          <w:rFonts w:ascii="Arial" w:eastAsia="Arial" w:hAnsi="Arial" w:cs="Arial"/>
          <w:color w:val="000000"/>
          <w:sz w:val="24"/>
          <w:szCs w:val="24"/>
        </w:rPr>
        <w:t xml:space="preserve"> individual's criminal record. The Supplier maybe required to implement additional security vetting for some roles.</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Identity, Authentication and Access Control e.g. </w:t>
      </w:r>
      <w:r>
        <w:rPr>
          <w:rFonts w:ascii="Arial" w:eastAsia="Arial" w:hAnsi="Arial" w:cs="Arial"/>
          <w:color w:val="000000"/>
          <w:sz w:val="24"/>
          <w:szCs w:val="24"/>
        </w:rPr>
        <w:t>The Supplier must operate an appropriate access control regime to ensure that users and ad</w:t>
      </w:r>
      <w:r>
        <w:rPr>
          <w:rFonts w:ascii="Arial" w:eastAsia="Arial" w:hAnsi="Arial" w:cs="Arial"/>
          <w:color w:val="000000"/>
          <w:sz w:val="24"/>
          <w:szCs w:val="24"/>
        </w:rPr>
        <w:t>ministrators of the service are uniquely identified. The Supplier must retain records of access to the physical sites and to the service.</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Data Destruction/Deletion e.g. </w:t>
      </w:r>
      <w:r>
        <w:rPr>
          <w:rFonts w:ascii="Arial" w:eastAsia="Arial" w:hAnsi="Arial" w:cs="Arial"/>
          <w:color w:val="000000"/>
          <w:sz w:val="24"/>
          <w:szCs w:val="24"/>
        </w:rPr>
        <w:t>The Supplier must be able to demonstrate they can supply a copy of all data on request</w:t>
      </w:r>
      <w:r>
        <w:rPr>
          <w:rFonts w:ascii="Arial" w:eastAsia="Arial" w:hAnsi="Arial" w:cs="Arial"/>
          <w:color w:val="000000"/>
          <w:sz w:val="24"/>
          <w:szCs w:val="24"/>
        </w:rPr>
        <w:t xml:space="preserve"> or at termination of the service, and must be able to securely erase or destroy all data and media that the Authority/Buyer data has been stored and processed on.</w:t>
      </w:r>
    </w:p>
    <w:p w:rsidR="00EC6F45" w:rsidRDefault="00EC6F45">
      <w:pPr>
        <w:spacing w:after="0" w:line="240" w:lineRule="auto"/>
        <w:rPr>
          <w:rFonts w:ascii="Arial" w:eastAsia="Arial" w:hAnsi="Arial" w:cs="Arial"/>
          <w:b/>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Audit and Protective Monitoring e.g. </w:t>
      </w:r>
      <w:r>
        <w:rPr>
          <w:rFonts w:ascii="Arial" w:eastAsia="Arial" w:hAnsi="Arial" w:cs="Arial"/>
          <w:color w:val="000000"/>
          <w:sz w:val="24"/>
          <w:szCs w:val="24"/>
        </w:rPr>
        <w:t xml:space="preserve">The Supplier shall collect audit records which relate </w:t>
      </w:r>
      <w:r>
        <w:rPr>
          <w:rFonts w:ascii="Arial" w:eastAsia="Arial" w:hAnsi="Arial" w:cs="Arial"/>
          <w:color w:val="000000"/>
          <w:sz w:val="24"/>
          <w:szCs w:val="24"/>
        </w:rPr>
        <w:t>to security events in delivery of the service or that would support the analysis of potential and actual compromises. In order to facilitate effective monitoring and forensic readiness such Supplier audit records should (as a minimum) include regular repor</w:t>
      </w:r>
      <w:r>
        <w:rPr>
          <w:rFonts w:ascii="Arial" w:eastAsia="Arial" w:hAnsi="Arial" w:cs="Arial"/>
          <w:color w:val="000000"/>
          <w:sz w:val="24"/>
          <w:szCs w:val="24"/>
        </w:rPr>
        <w:t>ts and alerts setting out details of access by users of the service, to enable the identification of (without limitation) changing access trends, any unusual patterns of usage and/or accounts accessing higher than average amounts of Authority/Buyer Data. T</w:t>
      </w:r>
      <w:r>
        <w:rPr>
          <w:rFonts w:ascii="Arial" w:eastAsia="Arial" w:hAnsi="Arial" w:cs="Arial"/>
          <w:color w:val="000000"/>
          <w:sz w:val="24"/>
          <w:szCs w:val="24"/>
        </w:rPr>
        <w:t>he retention periods for audit records and event logs must be agreed with the Authority/Buyer and documented.</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Location of Authority/Buyer Data e.g. </w:t>
      </w:r>
      <w:r>
        <w:rPr>
          <w:rFonts w:ascii="Arial" w:eastAsia="Arial" w:hAnsi="Arial" w:cs="Arial"/>
          <w:color w:val="000000"/>
          <w:sz w:val="24"/>
          <w:szCs w:val="24"/>
        </w:rPr>
        <w:t>The Supplier shall not, and shall procure that none of its Sub-contractors, process Authority/Buyer Data ou</w:t>
      </w:r>
      <w:r>
        <w:rPr>
          <w:rFonts w:ascii="Arial" w:eastAsia="Arial" w:hAnsi="Arial" w:cs="Arial"/>
          <w:color w:val="000000"/>
          <w:sz w:val="24"/>
          <w:szCs w:val="24"/>
        </w:rPr>
        <w:t>tside the EEA without the prior written consent of the Authority/Buyer and the Supplier shall not change where it or any of its Sub-contractors process Authority/Buyer Data without the Authority/Buyer's prior written consent which may be subject to conditi</w:t>
      </w:r>
      <w:r>
        <w:rPr>
          <w:rFonts w:ascii="Arial" w:eastAsia="Arial" w:hAnsi="Arial" w:cs="Arial"/>
          <w:color w:val="000000"/>
          <w:sz w:val="24"/>
          <w:szCs w:val="24"/>
        </w:rPr>
        <w:t>ons.</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Vulnerabilities and Corrective Action e.g. </w:t>
      </w:r>
      <w:r>
        <w:rPr>
          <w:rFonts w:ascii="Arial" w:eastAsia="Arial" w:hAnsi="Arial" w:cs="Arial"/>
          <w:color w:val="000000"/>
          <w:sz w:val="24"/>
          <w:szCs w:val="24"/>
        </w:rPr>
        <w:t>Suppliers shall procure and implement security patches to vulnerabilities in accordance with the timescales specified in the NCSC Cloud Security Principle 5.</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color w:val="000000"/>
          <w:sz w:val="24"/>
          <w:szCs w:val="24"/>
        </w:rPr>
        <w:t>Suppliers must ensure that all COTS Software and Third Party COTS Software be kept up to date such that all Supplier COTS Software and Third Party COTS Software are always in mainstream support.</w:t>
      </w:r>
    </w:p>
    <w:p w:rsidR="00EC6F45" w:rsidRDefault="00EC6F45">
      <w:pPr>
        <w:spacing w:after="0" w:line="240" w:lineRule="auto"/>
        <w:rPr>
          <w:rFonts w:ascii="Arial" w:eastAsia="Arial" w:hAnsi="Arial" w:cs="Arial"/>
          <w:color w:val="000000"/>
          <w:sz w:val="24"/>
          <w:szCs w:val="24"/>
        </w:rPr>
      </w:pPr>
    </w:p>
    <w:p w:rsidR="00EC6F45" w:rsidRDefault="00874A02">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Secure Architecture e.g. </w:t>
      </w:r>
      <w:r>
        <w:rPr>
          <w:rFonts w:ascii="Arial" w:eastAsia="Arial" w:hAnsi="Arial" w:cs="Arial"/>
          <w:color w:val="000000"/>
          <w:sz w:val="24"/>
          <w:szCs w:val="24"/>
        </w:rPr>
        <w:t>Suppliers should design the service</w:t>
      </w:r>
      <w:r>
        <w:rPr>
          <w:rFonts w:ascii="Arial" w:eastAsia="Arial" w:hAnsi="Arial" w:cs="Arial"/>
          <w:color w:val="000000"/>
          <w:sz w:val="24"/>
          <w:szCs w:val="24"/>
        </w:rPr>
        <w:t xml:space="preserve"> in accordance with:</w:t>
      </w:r>
    </w:p>
    <w:p w:rsidR="00EC6F45" w:rsidRDefault="00874A02">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NCSC "</w:t>
      </w:r>
      <w:r>
        <w:rPr>
          <w:rFonts w:ascii="Arial" w:eastAsia="Arial" w:hAnsi="Arial" w:cs="Arial"/>
          <w:color w:val="1155CD"/>
          <w:sz w:val="24"/>
          <w:szCs w:val="24"/>
        </w:rPr>
        <w:t>Security Design Principles for Digital Services</w:t>
      </w:r>
      <w:r>
        <w:rPr>
          <w:rFonts w:ascii="Arial" w:eastAsia="Arial" w:hAnsi="Arial" w:cs="Arial"/>
          <w:color w:val="000000"/>
          <w:sz w:val="24"/>
          <w:szCs w:val="24"/>
        </w:rPr>
        <w:t>"</w:t>
      </w:r>
    </w:p>
    <w:p w:rsidR="00EC6F45" w:rsidRDefault="00874A02">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NCSC "</w:t>
      </w:r>
      <w:r>
        <w:rPr>
          <w:rFonts w:ascii="Arial" w:eastAsia="Arial" w:hAnsi="Arial" w:cs="Arial"/>
          <w:color w:val="1155CD"/>
          <w:sz w:val="24"/>
          <w:szCs w:val="24"/>
        </w:rPr>
        <w:t>Bulk Data Principles</w:t>
      </w:r>
      <w:r>
        <w:rPr>
          <w:rFonts w:ascii="Arial" w:eastAsia="Arial" w:hAnsi="Arial" w:cs="Arial"/>
          <w:color w:val="000000"/>
          <w:sz w:val="24"/>
          <w:szCs w:val="24"/>
        </w:rPr>
        <w:t>"</w:t>
      </w:r>
    </w:p>
    <w:p w:rsidR="00EC6F45" w:rsidRDefault="00874A02">
      <w:pPr>
        <w:numPr>
          <w:ilvl w:val="0"/>
          <w:numId w:val="3"/>
        </w:numPr>
        <w:pBdr>
          <w:top w:val="nil"/>
          <w:left w:val="nil"/>
          <w:bottom w:val="nil"/>
          <w:right w:val="nil"/>
          <w:between w:val="nil"/>
        </w:pBdr>
        <w:rPr>
          <w:rFonts w:ascii="Arial" w:eastAsia="Arial" w:hAnsi="Arial" w:cs="Arial"/>
          <w:b/>
          <w:color w:val="000000"/>
          <w:sz w:val="24"/>
          <w:szCs w:val="24"/>
        </w:rPr>
      </w:pPr>
      <w:r>
        <w:rPr>
          <w:rFonts w:ascii="Arial" w:eastAsia="Arial" w:hAnsi="Arial" w:cs="Arial"/>
          <w:color w:val="000000"/>
          <w:sz w:val="24"/>
          <w:szCs w:val="24"/>
        </w:rPr>
        <w:t>NSCS "</w:t>
      </w:r>
      <w:r>
        <w:rPr>
          <w:rFonts w:ascii="Arial" w:eastAsia="Arial" w:hAnsi="Arial" w:cs="Arial"/>
          <w:color w:val="1155CD"/>
          <w:sz w:val="24"/>
          <w:szCs w:val="24"/>
        </w:rPr>
        <w:t>Cloud Security Principles</w:t>
      </w:r>
      <w:r>
        <w:rPr>
          <w:rFonts w:ascii="Arial" w:eastAsia="Arial" w:hAnsi="Arial" w:cs="Arial"/>
          <w:color w:val="000000"/>
          <w:sz w:val="24"/>
          <w:szCs w:val="24"/>
        </w:rPr>
        <w:t>"</w:t>
      </w: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EC6F45">
      <w:pPr>
        <w:rPr>
          <w:rFonts w:ascii="Arial" w:eastAsia="Arial" w:hAnsi="Arial" w:cs="Arial"/>
          <w:b/>
          <w:sz w:val="24"/>
          <w:szCs w:val="24"/>
        </w:rPr>
      </w:pPr>
    </w:p>
    <w:p w:rsidR="00EC6F45" w:rsidRDefault="00874A02">
      <w:pPr>
        <w:rPr>
          <w:rFonts w:ascii="Arial" w:eastAsia="Arial" w:hAnsi="Arial" w:cs="Arial"/>
          <w:sz w:val="24"/>
          <w:szCs w:val="24"/>
        </w:rPr>
      </w:pPr>
      <w:r>
        <w:rPr>
          <w:rFonts w:ascii="Arial" w:eastAsia="Arial" w:hAnsi="Arial" w:cs="Arial"/>
          <w:b/>
          <w:sz w:val="24"/>
          <w:szCs w:val="24"/>
        </w:rPr>
        <w:t>Annex 3 - Joint Controller Agreement</w:t>
      </w:r>
    </w:p>
    <w:p w:rsidR="00EC6F45" w:rsidRDefault="00874A02">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EC6F45" w:rsidRDefault="00874A02">
      <w:pPr>
        <w:keepNext/>
        <w:rPr>
          <w:rFonts w:ascii="Arial" w:eastAsia="Arial" w:hAnsi="Arial" w:cs="Arial"/>
          <w:sz w:val="24"/>
          <w:szCs w:val="24"/>
        </w:rPr>
      </w:pPr>
      <w:bookmarkStart w:id="17" w:name="_heading=h.gjdgxs" w:colFirst="0" w:colLast="0"/>
      <w:bookmarkEnd w:id="17"/>
      <w:r>
        <w:rPr>
          <w:rFonts w:ascii="Arial" w:eastAsia="Arial" w:hAnsi="Arial" w:cs="Arial"/>
          <w:sz w:val="24"/>
          <w:szCs w:val="24"/>
        </w:rPr>
        <w:t>1.1</w:t>
      </w:r>
      <w:r>
        <w:rPr>
          <w:rFonts w:ascii="Arial" w:eastAsia="Arial" w:hAnsi="Arial" w:cs="Arial"/>
          <w:sz w:val="24"/>
          <w:szCs w:val="24"/>
        </w:rPr>
        <w:tab/>
        <w:t>NOT USED</w:t>
      </w:r>
    </w:p>
    <w:p w:rsidR="00EC6F45" w:rsidRDefault="00EC6F45">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EC6F45" w:rsidRDefault="00EC6F45">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8" w:name="bookmark=id.1ksv4uv" w:colFirst="0" w:colLast="0"/>
      <w:bookmarkStart w:id="19" w:name="_heading=h.44sinio" w:colFirst="0" w:colLast="0"/>
      <w:bookmarkEnd w:id="18"/>
      <w:bookmarkEnd w:id="19"/>
    </w:p>
    <w:sectPr w:rsidR="00EC6F4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A02" w:rsidRDefault="00874A02">
      <w:pPr>
        <w:spacing w:after="0" w:line="240" w:lineRule="auto"/>
      </w:pPr>
      <w:r>
        <w:separator/>
      </w:r>
    </w:p>
  </w:endnote>
  <w:endnote w:type="continuationSeparator" w:id="0">
    <w:p w:rsidR="00874A02" w:rsidRDefault="00874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F45" w:rsidRDefault="00EC6F45">
    <w:pPr>
      <w:pBdr>
        <w:top w:val="nil"/>
        <w:left w:val="nil"/>
        <w:bottom w:val="nil"/>
        <w:right w:val="nil"/>
        <w:between w:val="nil"/>
      </w:pBdr>
      <w:tabs>
        <w:tab w:val="center" w:pos="4513"/>
        <w:tab w:val="right" w:pos="9026"/>
      </w:tabs>
      <w:spacing w:after="0" w:line="240" w:lineRule="auto"/>
      <w:rPr>
        <w:color w:val="000000"/>
      </w:rPr>
    </w:pPr>
  </w:p>
  <w:p w:rsidR="00EC6F45" w:rsidRDefault="00874A02">
    <w:pPr>
      <w:pBdr>
        <w:top w:val="nil"/>
        <w:left w:val="nil"/>
        <w:bottom w:val="nil"/>
        <w:right w:val="nil"/>
        <w:between w:val="nil"/>
      </w:pBdr>
      <w:tabs>
        <w:tab w:val="center" w:pos="4513"/>
        <w:tab w:val="right" w:pos="9026"/>
      </w:tabs>
      <w:spacing w:after="0" w:line="240" w:lineRule="auto"/>
      <w:rPr>
        <w:color w:val="000000"/>
      </w:rPr>
    </w:pPr>
    <w:r>
      <w:rPr>
        <w:color w:val="000000"/>
      </w:rPr>
      <w:t>76698071.1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F45" w:rsidRDefault="00874A0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RM6098                                           </w:t>
    </w:r>
  </w:p>
  <w:p w:rsidR="00EC6F45" w:rsidRDefault="00874A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27F1A">
      <w:rPr>
        <w:rFonts w:ascii="Arial" w:eastAsia="Arial" w:hAnsi="Arial" w:cs="Arial"/>
        <w:color w:val="000000"/>
        <w:sz w:val="20"/>
        <w:szCs w:val="20"/>
      </w:rPr>
      <w:fldChar w:fldCharType="separate"/>
    </w:r>
    <w:r w:rsidR="00927F1A">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EC6F45" w:rsidRDefault="00874A02">
    <w:pPr>
      <w:spacing w:after="0"/>
    </w:pPr>
    <w:r>
      <w:rPr>
        <w:rFonts w:ascii="Arial" w:eastAsia="Arial" w:hAnsi="Arial" w:cs="Arial"/>
        <w:sz w:val="20"/>
        <w:szCs w:val="20"/>
      </w:rPr>
      <w:t>Model Version: v4.6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rsidR="00EC6F45" w:rsidRDefault="00EC6F45">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F45" w:rsidRDefault="00874A0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C6F45" w:rsidRDefault="00874A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C6F45" w:rsidRDefault="00874A0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rsidR="00EC6F45" w:rsidRDefault="00874A02">
    <w:pPr>
      <w:spacing w:after="0"/>
    </w:pPr>
    <w:r>
      <w:t>76698071.1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A02" w:rsidRDefault="00874A02">
      <w:pPr>
        <w:spacing w:after="0" w:line="240" w:lineRule="auto"/>
      </w:pPr>
      <w:r>
        <w:separator/>
      </w:r>
    </w:p>
  </w:footnote>
  <w:footnote w:type="continuationSeparator" w:id="0">
    <w:p w:rsidR="00874A02" w:rsidRDefault="00874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F45" w:rsidRDefault="00EC6F4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F45" w:rsidRDefault="00874A0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C6F45" w:rsidRDefault="00874A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F45" w:rsidRDefault="00874A0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-13328</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320B"/>
    <w:multiLevelType w:val="multilevel"/>
    <w:tmpl w:val="2BAAA1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472D53"/>
    <w:multiLevelType w:val="multilevel"/>
    <w:tmpl w:val="2D14CA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10060E"/>
    <w:multiLevelType w:val="multilevel"/>
    <w:tmpl w:val="C908D0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AE5C81"/>
    <w:multiLevelType w:val="multilevel"/>
    <w:tmpl w:val="2F1CB104"/>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717AED"/>
    <w:multiLevelType w:val="multilevel"/>
    <w:tmpl w:val="5690525E"/>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F77711F"/>
    <w:multiLevelType w:val="multilevel"/>
    <w:tmpl w:val="1A2662C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FBB31B6"/>
    <w:multiLevelType w:val="multilevel"/>
    <w:tmpl w:val="8E34F6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2E321A"/>
    <w:multiLevelType w:val="multilevel"/>
    <w:tmpl w:val="7E9E04B8"/>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A9757AE"/>
    <w:multiLevelType w:val="multilevel"/>
    <w:tmpl w:val="DC068D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5545CD"/>
    <w:multiLevelType w:val="multilevel"/>
    <w:tmpl w:val="2D6008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3B1C2F"/>
    <w:multiLevelType w:val="multilevel"/>
    <w:tmpl w:val="CDF6D6C8"/>
    <w:lvl w:ilvl="0">
      <w:start w:val="1"/>
      <w:numFmt w:val="decimal"/>
      <w:pStyle w:val="ABackground"/>
      <w:lvlText w:val="Schedule %1"/>
      <w:lvlJc w:val="left"/>
      <w:pPr>
        <w:ind w:left="360" w:hanging="360"/>
      </w:pPr>
      <w:rPr>
        <w:color w:val="000000"/>
      </w:rPr>
    </w:lvl>
    <w:lvl w:ilvl="1">
      <w:start w:val="1"/>
      <w:numFmt w:val="decimal"/>
      <w:pStyle w:val="BackSubClause"/>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5CC3A6E"/>
    <w:multiLevelType w:val="multilevel"/>
    <w:tmpl w:val="B5ECC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7963703"/>
    <w:multiLevelType w:val="multilevel"/>
    <w:tmpl w:val="6C7EA4CA"/>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F695325"/>
    <w:multiLevelType w:val="multilevel"/>
    <w:tmpl w:val="00284626"/>
    <w:lvl w:ilvl="0">
      <w:start w:val="1"/>
      <w:numFmt w:val="decimal"/>
      <w:lvlText w:val="%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A2F2C02"/>
    <w:multiLevelType w:val="multilevel"/>
    <w:tmpl w:val="13526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D9B7992"/>
    <w:multiLevelType w:val="multilevel"/>
    <w:tmpl w:val="32A0B3B4"/>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5"/>
  </w:num>
  <w:num w:numId="2">
    <w:abstractNumId w:val="11"/>
  </w:num>
  <w:num w:numId="3">
    <w:abstractNumId w:val="6"/>
  </w:num>
  <w:num w:numId="4">
    <w:abstractNumId w:val="13"/>
  </w:num>
  <w:num w:numId="5">
    <w:abstractNumId w:val="7"/>
  </w:num>
  <w:num w:numId="6">
    <w:abstractNumId w:val="4"/>
  </w:num>
  <w:num w:numId="7">
    <w:abstractNumId w:val="3"/>
  </w:num>
  <w:num w:numId="8">
    <w:abstractNumId w:val="5"/>
  </w:num>
  <w:num w:numId="9">
    <w:abstractNumId w:val="9"/>
  </w:num>
  <w:num w:numId="10">
    <w:abstractNumId w:val="8"/>
  </w:num>
  <w:num w:numId="11">
    <w:abstractNumId w:val="0"/>
  </w:num>
  <w:num w:numId="12">
    <w:abstractNumId w:val="14"/>
  </w:num>
  <w:num w:numId="13">
    <w:abstractNumId w:val="1"/>
  </w:num>
  <w:num w:numId="14">
    <w:abstractNumId w:val="10"/>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F45"/>
    <w:rsid w:val="00874A02"/>
    <w:rsid w:val="00927F1A"/>
    <w:rsid w:val="00EC6F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28611E-ACA7-4EED-AC7D-82319F961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381AF7"/>
    <w:rPr>
      <w:color w:val="605E5C"/>
      <w:shd w:val="clear" w:color="auto" w:fill="E1DFDD"/>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ListBullet">
    <w:name w:val="List Bullet"/>
    <w:basedOn w:val="Normal"/>
    <w:rsid w:val="0040071A"/>
    <w:pPr>
      <w:numPr>
        <w:numId w:val="16"/>
      </w:numPr>
      <w:overflowPunct w:val="0"/>
      <w:autoSpaceDE w:val="0"/>
      <w:spacing w:after="240" w:line="360" w:lineRule="auto"/>
      <w:jc w:val="both"/>
    </w:pPr>
    <w:rPr>
      <w:rFonts w:ascii="Times New Roman" w:eastAsia="Times New Roman" w:hAnsi="Times New Roman" w:cs="Arial"/>
      <w:szCs w:val="20"/>
      <w:lang w:eastAsia="en-US"/>
    </w:r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guidance/end-user-device-securit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D4qRMpDiO+pGkkshO5CIaLey0w==">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aSUY2WDA2ZV81WGQ0ODRpdUc1RGhCQmJVcFp5MnBh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4802</Words>
  <Characters>27373</Characters>
  <Application>Microsoft Office Word</Application>
  <DocSecurity>0</DocSecurity>
  <Lines>228</Lines>
  <Paragraphs>64</Paragraphs>
  <ScaleCrop>false</ScaleCrop>
  <Company/>
  <LinksUpToDate>false</LinksUpToDate>
  <CharactersWithSpaces>32111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Paul Ellis</cp:lastModifiedBy>
  <cp:revision>3</cp:revision>
  <dcterms:created xsi:type="dcterms:W3CDTF">2025-01-06T10:54:00Z</dcterms:created>
  <dcterms:modified xsi:type="dcterms:W3CDTF">2025-02-19T15:58:00Z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ies>
</file>